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71C" w:rsidRPr="00D523E0" w:rsidRDefault="00CD001B" w:rsidP="00D523E0">
      <w:pPr>
        <w:pStyle w:val="berschrift1"/>
        <w:numPr>
          <w:ilvl w:val="0"/>
          <w:numId w:val="0"/>
        </w:numPr>
        <w:spacing w:before="120" w:after="0"/>
        <w:rPr>
          <w:rFonts w:ascii="Calibri" w:hAnsi="Calibri"/>
          <w:b w:val="0"/>
          <w:sz w:val="24"/>
        </w:rPr>
      </w:pPr>
      <w:r w:rsidRPr="00D523E0">
        <w:rPr>
          <w:rFonts w:ascii="Calibri" w:hAnsi="Calibri"/>
          <w:sz w:val="28"/>
        </w:rPr>
        <w:t>Musterreglement über die Ausrichtung von Mietzinsbeiträgen</w:t>
      </w:r>
    </w:p>
    <w:p w:rsidR="00DC3034" w:rsidRPr="00746E17" w:rsidRDefault="00652AAB" w:rsidP="00DC3034">
      <w:pPr>
        <w:rPr>
          <w:rFonts w:asciiTheme="majorHAnsi" w:hAnsiTheme="majorHAnsi" w:cstheme="majorHAnsi"/>
        </w:rPr>
      </w:pPr>
    </w:p>
    <w:p w:rsidR="00B43319" w:rsidRPr="00746E17" w:rsidRDefault="00652AAB" w:rsidP="00DC3034">
      <w:pPr>
        <w:rPr>
          <w:rFonts w:asciiTheme="majorHAnsi" w:hAnsiTheme="majorHAnsi" w:cstheme="majorHAnsi"/>
        </w:rPr>
      </w:pPr>
    </w:p>
    <w:p w:rsidR="00705A71" w:rsidRPr="000167C8" w:rsidRDefault="00CD001B" w:rsidP="000167C8">
      <w:pPr>
        <w:pStyle w:val="Textkrper"/>
        <w:rPr>
          <w:rFonts w:asciiTheme="majorHAnsi" w:hAnsiTheme="majorHAnsi"/>
        </w:rPr>
      </w:pPr>
      <w:r w:rsidRPr="00D523E0">
        <w:rPr>
          <w:rFonts w:asciiTheme="majorHAnsi" w:hAnsiTheme="majorHAnsi"/>
        </w:rPr>
        <w:t xml:space="preserve">Die </w:t>
      </w:r>
      <w:r w:rsidRPr="00D523E0">
        <w:rPr>
          <w:rFonts w:asciiTheme="majorHAnsi" w:hAnsiTheme="majorHAnsi"/>
          <w:highlight w:val="lightGray"/>
        </w:rPr>
        <w:t>grau schraffierten</w:t>
      </w:r>
      <w:r w:rsidRPr="00D523E0">
        <w:rPr>
          <w:rFonts w:asciiTheme="majorHAnsi" w:hAnsiTheme="majorHAnsi"/>
        </w:rPr>
        <w:t xml:space="preserve"> Begriffe </w:t>
      </w:r>
      <w:r w:rsidRPr="00746E17">
        <w:rPr>
          <w:rFonts w:asciiTheme="majorHAnsi" w:hAnsiTheme="majorHAnsi" w:cstheme="majorHAnsi"/>
        </w:rPr>
        <w:t>muss</w:t>
      </w:r>
      <w:r w:rsidRPr="00D523E0">
        <w:rPr>
          <w:rFonts w:asciiTheme="majorHAnsi" w:hAnsiTheme="majorHAnsi"/>
        </w:rPr>
        <w:t xml:space="preserve"> die Gemeinde in ihrem Reglement </w:t>
      </w:r>
      <w:r w:rsidRPr="00746E17">
        <w:rPr>
          <w:rFonts w:asciiTheme="majorHAnsi" w:hAnsiTheme="majorHAnsi" w:cstheme="majorHAnsi"/>
        </w:rPr>
        <w:t>festlegen. Weitere</w:t>
      </w:r>
      <w:r w:rsidRPr="00D523E0">
        <w:rPr>
          <w:rFonts w:asciiTheme="majorHAnsi" w:hAnsiTheme="majorHAnsi"/>
        </w:rPr>
        <w:t xml:space="preserve"> Ergänzungen und Anpassungen </w:t>
      </w:r>
      <w:r w:rsidRPr="00746E17">
        <w:rPr>
          <w:rFonts w:asciiTheme="majorHAnsi" w:hAnsiTheme="majorHAnsi" w:cstheme="majorHAnsi"/>
        </w:rPr>
        <w:t>am</w:t>
      </w:r>
      <w:r w:rsidRPr="00D523E0">
        <w:rPr>
          <w:rFonts w:asciiTheme="majorHAnsi" w:hAnsiTheme="majorHAnsi"/>
        </w:rPr>
        <w:t xml:space="preserve"> Musterreglement sind möglich</w:t>
      </w:r>
      <w:r w:rsidRPr="00746E17">
        <w:rPr>
          <w:rFonts w:asciiTheme="majorHAnsi" w:hAnsiTheme="majorHAnsi" w:cstheme="majorHAnsi"/>
        </w:rPr>
        <w:t>,</w:t>
      </w:r>
      <w:r w:rsidRPr="00D523E0">
        <w:rPr>
          <w:rFonts w:asciiTheme="majorHAnsi" w:hAnsiTheme="majorHAnsi"/>
        </w:rPr>
        <w:t xml:space="preserve"> die Bestimmungen gemäss Gesetz und Verordnung </w:t>
      </w:r>
      <w:r w:rsidR="00D523E0">
        <w:rPr>
          <w:rFonts w:asciiTheme="majorHAnsi" w:hAnsiTheme="majorHAnsi" w:cstheme="majorHAnsi"/>
        </w:rPr>
        <w:t>müssen</w:t>
      </w:r>
      <w:r w:rsidR="00D523E0" w:rsidRPr="00746E17">
        <w:rPr>
          <w:rFonts w:asciiTheme="majorHAnsi" w:hAnsiTheme="majorHAnsi" w:cstheme="majorHAnsi"/>
        </w:rPr>
        <w:t xml:space="preserve"> </w:t>
      </w:r>
      <w:r w:rsidRPr="00746E17">
        <w:rPr>
          <w:rFonts w:asciiTheme="majorHAnsi" w:hAnsiTheme="majorHAnsi" w:cstheme="majorHAnsi"/>
        </w:rPr>
        <w:t xml:space="preserve">aber </w:t>
      </w:r>
      <w:r w:rsidRPr="000167C8">
        <w:rPr>
          <w:rFonts w:asciiTheme="majorHAnsi" w:hAnsiTheme="majorHAnsi"/>
        </w:rPr>
        <w:t>eingehalten werden.</w:t>
      </w:r>
    </w:p>
    <w:p w:rsidR="00DC3034" w:rsidRPr="000167C8" w:rsidRDefault="00652AAB" w:rsidP="000167C8">
      <w:pPr>
        <w:pStyle w:val="Textkrper"/>
        <w:rPr>
          <w:rFonts w:asciiTheme="majorHAnsi" w:hAnsiTheme="majorHAnsi"/>
        </w:rPr>
      </w:pPr>
    </w:p>
    <w:tbl>
      <w:tblPr>
        <w:tblStyle w:val="Tabellenraster"/>
        <w:tblW w:w="15026" w:type="dxa"/>
        <w:tblInd w:w="-5" w:type="dxa"/>
        <w:tblLook w:val="04A0" w:firstRow="1" w:lastRow="0" w:firstColumn="1" w:lastColumn="0" w:noHBand="0" w:noVBand="1"/>
      </w:tblPr>
      <w:tblGrid>
        <w:gridCol w:w="7143"/>
        <w:gridCol w:w="7883"/>
      </w:tblGrid>
      <w:tr w:rsidR="00830F9B" w:rsidTr="00186C6D">
        <w:tc>
          <w:tcPr>
            <w:tcW w:w="7143" w:type="dxa"/>
            <w:shd w:val="clear" w:color="auto" w:fill="D9D9D9" w:themeFill="background1" w:themeFillShade="D9"/>
          </w:tcPr>
          <w:p w:rsidR="0031471C" w:rsidRPr="007D5908" w:rsidRDefault="00CD001B" w:rsidP="00D523E0">
            <w:pPr>
              <w:spacing w:before="60" w:after="60"/>
              <w:jc w:val="both"/>
              <w:rPr>
                <w:rFonts w:asciiTheme="majorHAnsi" w:hAnsiTheme="majorHAnsi"/>
                <w:b/>
                <w:sz w:val="26"/>
              </w:rPr>
            </w:pPr>
            <w:r w:rsidRPr="00D523E0">
              <w:rPr>
                <w:rFonts w:asciiTheme="majorHAnsi" w:hAnsiTheme="majorHAnsi"/>
                <w:b/>
                <w:sz w:val="26"/>
              </w:rPr>
              <w:t>Bestimmun</w:t>
            </w:r>
            <w:r w:rsidRPr="007D5908">
              <w:rPr>
                <w:rFonts w:asciiTheme="majorHAnsi" w:hAnsiTheme="majorHAnsi"/>
                <w:b/>
                <w:sz w:val="26"/>
              </w:rPr>
              <w:t>g</w:t>
            </w:r>
          </w:p>
        </w:tc>
        <w:tc>
          <w:tcPr>
            <w:tcW w:w="7883" w:type="dxa"/>
            <w:shd w:val="clear" w:color="auto" w:fill="D9D9D9" w:themeFill="background1" w:themeFillShade="D9"/>
          </w:tcPr>
          <w:p w:rsidR="0031471C" w:rsidRPr="007D5908" w:rsidRDefault="00CD001B" w:rsidP="007D5908">
            <w:pPr>
              <w:spacing w:before="60" w:after="60"/>
              <w:jc w:val="both"/>
              <w:rPr>
                <w:rFonts w:asciiTheme="majorHAnsi" w:hAnsiTheme="majorHAnsi"/>
                <w:b/>
                <w:sz w:val="26"/>
              </w:rPr>
            </w:pPr>
            <w:r w:rsidRPr="007D5908">
              <w:rPr>
                <w:rFonts w:asciiTheme="majorHAnsi" w:hAnsiTheme="majorHAnsi"/>
                <w:b/>
                <w:sz w:val="26"/>
              </w:rPr>
              <w:t>Erläuterungen</w:t>
            </w:r>
          </w:p>
        </w:tc>
      </w:tr>
      <w:tr w:rsidR="00830F9B" w:rsidTr="00233E4A">
        <w:tc>
          <w:tcPr>
            <w:tcW w:w="7143" w:type="dxa"/>
            <w:shd w:val="clear" w:color="auto" w:fill="auto"/>
          </w:tcPr>
          <w:p w:rsidR="00233E4A" w:rsidRPr="007D5908" w:rsidRDefault="00CD001B" w:rsidP="007D5908">
            <w:pPr>
              <w:spacing w:before="60" w:after="60"/>
              <w:jc w:val="both"/>
              <w:rPr>
                <w:rFonts w:asciiTheme="majorHAnsi" w:hAnsiTheme="majorHAnsi"/>
              </w:rPr>
            </w:pPr>
            <w:r w:rsidRPr="007D5908">
              <w:rPr>
                <w:rFonts w:asciiTheme="majorHAnsi" w:hAnsiTheme="majorHAnsi"/>
              </w:rPr>
              <w:t>Die Gemeindeversammlung</w:t>
            </w:r>
            <w:r w:rsidRPr="00746E17">
              <w:rPr>
                <w:rFonts w:asciiTheme="majorHAnsi" w:hAnsiTheme="majorHAnsi" w:cstheme="majorHAnsi"/>
              </w:rPr>
              <w:t xml:space="preserve"> XY beschliesst</w:t>
            </w:r>
            <w:r w:rsidRPr="007D5908">
              <w:rPr>
                <w:rFonts w:asciiTheme="majorHAnsi" w:hAnsiTheme="majorHAnsi"/>
              </w:rPr>
              <w:t xml:space="preserve"> gestützt auf § 47 Abs. 1 Ziff. 2 Gemeindegesetz</w:t>
            </w:r>
            <w:r>
              <w:rPr>
                <w:rStyle w:val="Funotenzeichen"/>
                <w:rFonts w:asciiTheme="majorHAnsi" w:hAnsiTheme="majorHAnsi" w:cstheme="majorHAnsi"/>
              </w:rPr>
              <w:footnoteReference w:id="2"/>
            </w:r>
            <w:r w:rsidRPr="00746E17">
              <w:rPr>
                <w:rFonts w:asciiTheme="majorHAnsi" w:hAnsiTheme="majorHAnsi" w:cstheme="majorHAnsi"/>
              </w:rPr>
              <w:t xml:space="preserve"> sowie</w:t>
            </w:r>
            <w:r w:rsidRPr="007D5908">
              <w:rPr>
                <w:rFonts w:asciiTheme="majorHAnsi" w:hAnsiTheme="majorHAnsi"/>
              </w:rPr>
              <w:t xml:space="preserve"> § 10 des Gesetzes über die Ausrichtung von Mietzinsbeiträgen</w:t>
            </w:r>
            <w:r>
              <w:rPr>
                <w:rStyle w:val="Funotenzeichen"/>
                <w:rFonts w:asciiTheme="majorHAnsi" w:hAnsiTheme="majorHAnsi" w:cstheme="majorHAnsi"/>
              </w:rPr>
              <w:footnoteReference w:id="3"/>
            </w:r>
            <w:r w:rsidRPr="007D5908">
              <w:rPr>
                <w:rFonts w:asciiTheme="majorHAnsi" w:hAnsiTheme="majorHAnsi"/>
              </w:rPr>
              <w:t xml:space="preserve"> und § 1 Abs. 1 der Verordnung zum Mietzinsbeitragsgesetz</w:t>
            </w:r>
            <w:r>
              <w:rPr>
                <w:rStyle w:val="Funotenzeichen"/>
                <w:rFonts w:asciiTheme="majorHAnsi" w:hAnsiTheme="majorHAnsi" w:cstheme="majorHAnsi"/>
              </w:rPr>
              <w:footnoteReference w:id="4"/>
            </w:r>
            <w:r w:rsidRPr="007D5908">
              <w:rPr>
                <w:rFonts w:asciiTheme="majorHAnsi" w:hAnsiTheme="majorHAnsi"/>
              </w:rPr>
              <w:t>:</w:t>
            </w:r>
          </w:p>
        </w:tc>
        <w:tc>
          <w:tcPr>
            <w:tcW w:w="7883" w:type="dxa"/>
            <w:shd w:val="clear" w:color="auto" w:fill="auto"/>
          </w:tcPr>
          <w:p w:rsidR="00233E4A" w:rsidRPr="007D5908" w:rsidRDefault="00233E4A" w:rsidP="007D5908">
            <w:pPr>
              <w:spacing w:before="60" w:after="60"/>
              <w:jc w:val="both"/>
              <w:rPr>
                <w:rFonts w:asciiTheme="majorHAnsi" w:hAnsiTheme="majorHAnsi"/>
                <w:b/>
                <w:sz w:val="28"/>
              </w:rPr>
            </w:pPr>
          </w:p>
        </w:tc>
      </w:tr>
      <w:tr w:rsidR="00830F9B" w:rsidTr="00186C6D">
        <w:tc>
          <w:tcPr>
            <w:tcW w:w="7143" w:type="dxa"/>
            <w:shd w:val="clear" w:color="auto" w:fill="F2F2F2" w:themeFill="background1" w:themeFillShade="F2"/>
          </w:tcPr>
          <w:p w:rsidR="0031471C" w:rsidRPr="007D5908" w:rsidRDefault="00CD001B" w:rsidP="007D5908">
            <w:pPr>
              <w:pStyle w:val="Listenabsatz"/>
              <w:numPr>
                <w:ilvl w:val="0"/>
                <w:numId w:val="25"/>
              </w:numPr>
              <w:spacing w:before="60" w:after="60"/>
              <w:ind w:left="357" w:hanging="357"/>
              <w:contextualSpacing w:val="0"/>
              <w:jc w:val="both"/>
              <w:rPr>
                <w:rFonts w:asciiTheme="majorHAnsi" w:hAnsiTheme="majorHAnsi"/>
                <w:b/>
                <w:sz w:val="28"/>
              </w:rPr>
            </w:pPr>
            <w:r w:rsidRPr="007D5908">
              <w:rPr>
                <w:rFonts w:asciiTheme="majorHAnsi" w:hAnsiTheme="majorHAnsi"/>
                <w:b/>
                <w:sz w:val="28"/>
              </w:rPr>
              <w:t>Allgemeine Bestimmungen</w:t>
            </w:r>
          </w:p>
        </w:tc>
        <w:tc>
          <w:tcPr>
            <w:tcW w:w="7883" w:type="dxa"/>
            <w:shd w:val="clear" w:color="auto" w:fill="F2F2F2" w:themeFill="background1" w:themeFillShade="F2"/>
          </w:tcPr>
          <w:p w:rsidR="0031471C" w:rsidRPr="007D5908" w:rsidRDefault="0031471C" w:rsidP="007D5908">
            <w:pPr>
              <w:spacing w:before="60" w:after="60"/>
              <w:jc w:val="both"/>
              <w:rPr>
                <w:rFonts w:asciiTheme="majorHAnsi" w:hAnsiTheme="majorHAnsi"/>
                <w:b/>
                <w:sz w:val="28"/>
              </w:rPr>
            </w:pPr>
          </w:p>
        </w:tc>
      </w:tr>
      <w:tr w:rsidR="00830F9B" w:rsidTr="007B4680">
        <w:tc>
          <w:tcPr>
            <w:tcW w:w="7143" w:type="dxa"/>
          </w:tcPr>
          <w:p w:rsidR="0031471C" w:rsidRPr="007D5908" w:rsidRDefault="00CD001B" w:rsidP="007D5908">
            <w:pPr>
              <w:numPr>
                <w:ilvl w:val="0"/>
                <w:numId w:val="26"/>
              </w:numPr>
              <w:spacing w:before="60" w:after="60"/>
              <w:jc w:val="both"/>
              <w:rPr>
                <w:rFonts w:asciiTheme="majorHAnsi" w:hAnsiTheme="majorHAnsi"/>
                <w:b/>
              </w:rPr>
            </w:pPr>
            <w:r w:rsidRPr="007D5908">
              <w:rPr>
                <w:rFonts w:asciiTheme="majorHAnsi" w:hAnsiTheme="majorHAnsi"/>
                <w:b/>
              </w:rPr>
              <w:t>Zweck (§ 10 Abs. 2 MBG)</w:t>
            </w:r>
          </w:p>
          <w:p w:rsidR="0031471C" w:rsidRPr="007D5908" w:rsidRDefault="00CD001B" w:rsidP="007D5908">
            <w:pPr>
              <w:pStyle w:val="Listenabsatz"/>
              <w:tabs>
                <w:tab w:val="left" w:pos="142"/>
              </w:tabs>
              <w:spacing w:before="60" w:after="60"/>
              <w:ind w:left="0"/>
              <w:jc w:val="both"/>
              <w:rPr>
                <w:rFonts w:asciiTheme="majorHAnsi" w:hAnsiTheme="majorHAnsi"/>
              </w:rPr>
            </w:pPr>
            <w:r w:rsidRPr="007D5908">
              <w:rPr>
                <w:rFonts w:asciiTheme="majorHAnsi" w:hAnsiTheme="majorHAnsi"/>
              </w:rPr>
              <w:t>Dieses Reglement regelt den Vollzug der Bestimmungen über die Ausrichtung von Mietzinsbeiträgen.</w:t>
            </w:r>
          </w:p>
        </w:tc>
        <w:tc>
          <w:tcPr>
            <w:tcW w:w="7883" w:type="dxa"/>
          </w:tcPr>
          <w:p w:rsidR="00EF60AF" w:rsidRDefault="00EF60AF" w:rsidP="003F096E">
            <w:pPr>
              <w:spacing w:before="60" w:after="60"/>
              <w:jc w:val="both"/>
              <w:rPr>
                <w:rFonts w:asciiTheme="majorHAnsi" w:hAnsiTheme="majorHAnsi"/>
              </w:rPr>
            </w:pPr>
          </w:p>
          <w:p w:rsidR="003F096E" w:rsidRPr="004D6852" w:rsidRDefault="00602C34" w:rsidP="003F096E">
            <w:pPr>
              <w:spacing w:before="60" w:after="60"/>
              <w:jc w:val="both"/>
              <w:rPr>
                <w:rFonts w:asciiTheme="majorHAnsi" w:hAnsiTheme="majorHAnsi"/>
              </w:rPr>
            </w:pPr>
            <w:r w:rsidRPr="004D6852">
              <w:rPr>
                <w:rFonts w:asciiTheme="majorHAnsi" w:hAnsiTheme="majorHAnsi"/>
              </w:rPr>
              <w:t xml:space="preserve">Konkretisierung der </w:t>
            </w:r>
            <w:r w:rsidR="003F096E" w:rsidRPr="004D6852">
              <w:rPr>
                <w:rFonts w:asciiTheme="majorHAnsi" w:hAnsiTheme="majorHAnsi"/>
              </w:rPr>
              <w:t>Bestimmung in § 10 MBG.</w:t>
            </w:r>
          </w:p>
          <w:p w:rsidR="0031471C" w:rsidRPr="007D5908" w:rsidRDefault="003F096E" w:rsidP="003F096E">
            <w:pPr>
              <w:spacing w:before="60" w:after="60"/>
              <w:jc w:val="both"/>
              <w:rPr>
                <w:rFonts w:asciiTheme="majorHAnsi" w:hAnsiTheme="majorHAnsi"/>
              </w:rPr>
            </w:pPr>
            <w:r w:rsidRPr="004D6852">
              <w:rPr>
                <w:rFonts w:asciiTheme="majorHAnsi" w:hAnsiTheme="majorHAnsi"/>
              </w:rPr>
              <w:t xml:space="preserve">Der grundsätzliche Zweck der Mietzinsbeiträge ist gemäss Definition in § 1 MBG die Entlastung von </w:t>
            </w:r>
            <w:r w:rsidR="00602C34" w:rsidRPr="004D6852">
              <w:rPr>
                <w:rFonts w:asciiTheme="majorHAnsi" w:hAnsiTheme="majorHAnsi"/>
              </w:rPr>
              <w:t>Familien und Alleinerziehende</w:t>
            </w:r>
            <w:r w:rsidRPr="004D6852">
              <w:rPr>
                <w:rFonts w:asciiTheme="majorHAnsi" w:hAnsiTheme="majorHAnsi"/>
              </w:rPr>
              <w:t>n</w:t>
            </w:r>
            <w:r w:rsidR="00602C34" w:rsidRPr="004D6852">
              <w:rPr>
                <w:rFonts w:asciiTheme="majorHAnsi" w:hAnsiTheme="majorHAnsi"/>
              </w:rPr>
              <w:t xml:space="preserve"> in bescheidenen finanziellen Verhältnissen. Mit den Mietzinsbeiträgen wird insbesondere der Eintritt in die Sozialhilfe verhindert</w:t>
            </w:r>
            <w:r w:rsidRPr="004D6852">
              <w:rPr>
                <w:rFonts w:asciiTheme="majorHAnsi" w:hAnsiTheme="majorHAnsi"/>
              </w:rPr>
              <w:t>.</w:t>
            </w:r>
          </w:p>
        </w:tc>
      </w:tr>
      <w:tr w:rsidR="00830F9B" w:rsidTr="00186C6D">
        <w:tc>
          <w:tcPr>
            <w:tcW w:w="7143" w:type="dxa"/>
            <w:shd w:val="clear" w:color="auto" w:fill="F2F2F2" w:themeFill="background1" w:themeFillShade="F2"/>
          </w:tcPr>
          <w:p w:rsidR="0031471C" w:rsidRPr="007D5908" w:rsidRDefault="00CD001B" w:rsidP="007D5908">
            <w:pPr>
              <w:pStyle w:val="Listenabsatz"/>
              <w:numPr>
                <w:ilvl w:val="0"/>
                <w:numId w:val="25"/>
              </w:numPr>
              <w:spacing w:before="60" w:after="60"/>
              <w:ind w:left="357" w:hanging="357"/>
              <w:jc w:val="both"/>
              <w:rPr>
                <w:rFonts w:asciiTheme="majorHAnsi" w:hAnsiTheme="majorHAnsi"/>
                <w:b/>
                <w:sz w:val="28"/>
              </w:rPr>
            </w:pPr>
            <w:r w:rsidRPr="007D5908">
              <w:rPr>
                <w:rFonts w:asciiTheme="majorHAnsi" w:hAnsiTheme="majorHAnsi"/>
                <w:b/>
                <w:sz w:val="28"/>
              </w:rPr>
              <w:t>Anspruchsvoraussetzungen</w:t>
            </w:r>
          </w:p>
        </w:tc>
        <w:tc>
          <w:tcPr>
            <w:tcW w:w="7883" w:type="dxa"/>
            <w:shd w:val="clear" w:color="auto" w:fill="F2F2F2" w:themeFill="background1" w:themeFillShade="F2"/>
          </w:tcPr>
          <w:p w:rsidR="0031471C" w:rsidRPr="007D5908" w:rsidRDefault="0031471C" w:rsidP="007D5908">
            <w:pPr>
              <w:spacing w:before="60" w:after="60"/>
              <w:jc w:val="both"/>
              <w:rPr>
                <w:rFonts w:asciiTheme="majorHAnsi" w:hAnsiTheme="majorHAnsi"/>
              </w:rPr>
            </w:pPr>
          </w:p>
        </w:tc>
      </w:tr>
      <w:tr w:rsidR="00830F9B" w:rsidTr="007B4680">
        <w:tc>
          <w:tcPr>
            <w:tcW w:w="7143" w:type="dxa"/>
          </w:tcPr>
          <w:p w:rsidR="0031471C" w:rsidRPr="00746E17" w:rsidRDefault="00CD001B" w:rsidP="00DC3034">
            <w:pPr>
              <w:numPr>
                <w:ilvl w:val="0"/>
                <w:numId w:val="26"/>
              </w:numPr>
              <w:spacing w:before="60" w:after="60"/>
              <w:jc w:val="both"/>
              <w:rPr>
                <w:rFonts w:asciiTheme="majorHAnsi" w:hAnsiTheme="majorHAnsi" w:cstheme="majorHAnsi"/>
                <w:b/>
                <w:bCs/>
              </w:rPr>
            </w:pPr>
            <w:r w:rsidRPr="007D5908">
              <w:rPr>
                <w:rFonts w:asciiTheme="majorHAnsi" w:hAnsiTheme="majorHAnsi"/>
                <w:b/>
              </w:rPr>
              <w:t xml:space="preserve">Mietzinshöchstbeitrag </w:t>
            </w:r>
          </w:p>
          <w:p w:rsidR="0031471C" w:rsidRPr="00746E17" w:rsidRDefault="00CD001B" w:rsidP="00DC3034">
            <w:pPr>
              <w:tabs>
                <w:tab w:val="left" w:pos="142"/>
              </w:tabs>
              <w:spacing w:before="60" w:after="60"/>
              <w:jc w:val="both"/>
              <w:rPr>
                <w:rFonts w:asciiTheme="majorHAnsi" w:hAnsiTheme="majorHAnsi" w:cstheme="majorHAnsi"/>
              </w:rPr>
            </w:pPr>
            <w:r w:rsidRPr="007D5908">
              <w:rPr>
                <w:rFonts w:asciiTheme="majorHAnsi" w:hAnsiTheme="majorHAnsi"/>
                <w:vertAlign w:val="superscript"/>
              </w:rPr>
              <w:t>1</w:t>
            </w:r>
            <w:r w:rsidRPr="00746E17">
              <w:rPr>
                <w:rFonts w:asciiTheme="majorHAnsi" w:hAnsiTheme="majorHAnsi" w:cstheme="majorHAnsi"/>
                <w:vertAlign w:val="superscript"/>
              </w:rPr>
              <w:t> </w:t>
            </w:r>
            <w:r w:rsidRPr="007D5908">
              <w:rPr>
                <w:rFonts w:asciiTheme="majorHAnsi" w:hAnsiTheme="majorHAnsi"/>
              </w:rPr>
              <w:t xml:space="preserve">Der maximale Mietzinsbeitrag beträgt </w:t>
            </w:r>
            <w:r w:rsidRPr="007D5908">
              <w:rPr>
                <w:rFonts w:asciiTheme="majorHAnsi" w:hAnsiTheme="majorHAnsi"/>
                <w:highlight w:val="lightGray"/>
              </w:rPr>
              <w:t>75 %</w:t>
            </w:r>
            <w:r w:rsidRPr="007D5908">
              <w:rPr>
                <w:rFonts w:asciiTheme="majorHAnsi" w:hAnsiTheme="majorHAnsi"/>
              </w:rPr>
              <w:t xml:space="preserve"> der Jahresnettomiete zuzüglich 20 % als Nebenkosten beziehungsweise der angemessenen Jahresnettomiete.</w:t>
            </w:r>
          </w:p>
          <w:p w:rsidR="008546D0" w:rsidRPr="00746E17" w:rsidRDefault="00CD001B" w:rsidP="00DC3034">
            <w:pPr>
              <w:tabs>
                <w:tab w:val="left" w:pos="142"/>
              </w:tabs>
              <w:spacing w:before="60" w:after="60"/>
              <w:jc w:val="both"/>
              <w:rPr>
                <w:rFonts w:asciiTheme="majorHAnsi" w:hAnsiTheme="majorHAnsi" w:cstheme="majorHAnsi"/>
              </w:rPr>
            </w:pPr>
            <w:r w:rsidRPr="00746E17">
              <w:rPr>
                <w:rFonts w:asciiTheme="majorHAnsi" w:hAnsiTheme="majorHAnsi" w:cstheme="majorHAnsi"/>
                <w:highlight w:val="lightGray"/>
              </w:rPr>
              <w:t>Oder</w:t>
            </w:r>
          </w:p>
          <w:p w:rsidR="008546D0" w:rsidRPr="007D5908" w:rsidRDefault="00CD001B" w:rsidP="007D5908">
            <w:pPr>
              <w:tabs>
                <w:tab w:val="left" w:pos="142"/>
              </w:tabs>
              <w:spacing w:before="60" w:after="60"/>
              <w:jc w:val="both"/>
              <w:rPr>
                <w:rFonts w:asciiTheme="majorHAnsi" w:hAnsiTheme="majorHAnsi"/>
              </w:rPr>
            </w:pPr>
            <w:r w:rsidRPr="00746E17">
              <w:rPr>
                <w:rFonts w:asciiTheme="majorHAnsi" w:hAnsiTheme="majorHAnsi" w:cstheme="majorHAnsi"/>
                <w:vertAlign w:val="superscript"/>
              </w:rPr>
              <w:t>1 </w:t>
            </w:r>
            <w:r w:rsidRPr="00746E17">
              <w:rPr>
                <w:rFonts w:asciiTheme="majorHAnsi" w:hAnsiTheme="majorHAnsi" w:cstheme="majorHAnsi"/>
              </w:rPr>
              <w:t xml:space="preserve">Der maximale Mietzinsbeitrag beträgt </w:t>
            </w:r>
            <w:r w:rsidRPr="00746E17">
              <w:rPr>
                <w:rFonts w:asciiTheme="majorHAnsi" w:hAnsiTheme="majorHAnsi" w:cstheme="majorHAnsi"/>
                <w:highlight w:val="lightGray"/>
              </w:rPr>
              <w:t>X %</w:t>
            </w:r>
            <w:r w:rsidRPr="00746E17">
              <w:rPr>
                <w:rFonts w:asciiTheme="majorHAnsi" w:hAnsiTheme="majorHAnsi" w:cstheme="majorHAnsi"/>
              </w:rPr>
              <w:t xml:space="preserve"> der Jahresnettomiete zuzüglich 20 % als Nebenkosten </w:t>
            </w:r>
            <w:r w:rsidRPr="00746E17">
              <w:rPr>
                <w:rFonts w:asciiTheme="majorHAnsi" w:hAnsiTheme="majorHAnsi" w:cstheme="majorHAnsi"/>
                <w:bCs/>
              </w:rPr>
              <w:t>beziehungsweise</w:t>
            </w:r>
            <w:r w:rsidRPr="00746E17">
              <w:rPr>
                <w:rFonts w:asciiTheme="majorHAnsi" w:hAnsiTheme="majorHAnsi" w:cstheme="majorHAnsi"/>
              </w:rPr>
              <w:t xml:space="preserve"> der angemessenen Jahresnettomiete.</w:t>
            </w:r>
          </w:p>
        </w:tc>
        <w:tc>
          <w:tcPr>
            <w:tcW w:w="7883" w:type="dxa"/>
          </w:tcPr>
          <w:p w:rsidR="0004467B" w:rsidRPr="00746E17" w:rsidRDefault="00652AAB" w:rsidP="00DC3034">
            <w:pPr>
              <w:spacing w:before="60" w:after="60"/>
              <w:jc w:val="both"/>
              <w:rPr>
                <w:rFonts w:asciiTheme="majorHAnsi" w:hAnsiTheme="majorHAnsi" w:cstheme="majorHAnsi"/>
              </w:rPr>
            </w:pPr>
          </w:p>
          <w:p w:rsidR="0031471C" w:rsidRPr="007D5908" w:rsidRDefault="00CD001B" w:rsidP="007D5908">
            <w:pPr>
              <w:spacing w:before="60" w:after="60"/>
              <w:jc w:val="both"/>
              <w:rPr>
                <w:rFonts w:asciiTheme="majorHAnsi" w:hAnsiTheme="majorHAnsi"/>
              </w:rPr>
            </w:pPr>
            <w:r w:rsidRPr="00746E17">
              <w:rPr>
                <w:rFonts w:asciiTheme="majorHAnsi" w:hAnsiTheme="majorHAnsi" w:cstheme="majorHAnsi"/>
              </w:rPr>
              <w:t xml:space="preserve">Konkretisierung der Bestimmungen in § 5 MBG </w:t>
            </w:r>
            <w:proofErr w:type="spellStart"/>
            <w:r w:rsidRPr="00746E17">
              <w:rPr>
                <w:rFonts w:asciiTheme="majorHAnsi" w:hAnsiTheme="majorHAnsi" w:cstheme="majorHAnsi"/>
              </w:rPr>
              <w:t>i.V.m</w:t>
            </w:r>
            <w:proofErr w:type="spellEnd"/>
            <w:r w:rsidRPr="00746E17">
              <w:rPr>
                <w:rFonts w:asciiTheme="majorHAnsi" w:hAnsiTheme="majorHAnsi" w:cstheme="majorHAnsi"/>
              </w:rPr>
              <w:t xml:space="preserve">. § 1 </w:t>
            </w:r>
            <w:proofErr w:type="spellStart"/>
            <w:r w:rsidRPr="00746E17">
              <w:rPr>
                <w:rFonts w:asciiTheme="majorHAnsi" w:hAnsiTheme="majorHAnsi" w:cstheme="majorHAnsi"/>
              </w:rPr>
              <w:t>Vo</w:t>
            </w:r>
            <w:proofErr w:type="spellEnd"/>
            <w:r w:rsidRPr="00746E17">
              <w:rPr>
                <w:rFonts w:asciiTheme="majorHAnsi" w:hAnsiTheme="majorHAnsi" w:cstheme="majorHAnsi"/>
              </w:rPr>
              <w:t xml:space="preserve"> MBG. Diese Bestimmung regelt, wie hoch der maximale Mietzinsbeitrag im Verhältnis zur Jahresnettomiete (plus 20% NK) sein darf. Mindestens 75% sind in der Verordnung vorgegeben, die Gemeinde kann den Anteil aber auch höher ansetzen, bei 80% oder mehr. Je höher der maximale Mietzinsbeitrag ist, umso geringer ist der selbst zu tragende Anteil. Die Frage </w:t>
            </w:r>
            <w:r w:rsidRPr="00746E17">
              <w:rPr>
                <w:rFonts w:asciiTheme="majorHAnsi" w:hAnsiTheme="majorHAnsi" w:cstheme="majorHAnsi"/>
              </w:rPr>
              <w:lastRenderedPageBreak/>
              <w:t xml:space="preserve">ist eine sozialpolitische, die der Gemeinderat (und am Ende die </w:t>
            </w:r>
            <w:r w:rsidR="00407ACF" w:rsidRPr="00746E17">
              <w:rPr>
                <w:rFonts w:asciiTheme="majorHAnsi" w:hAnsiTheme="majorHAnsi" w:cstheme="majorHAnsi"/>
              </w:rPr>
              <w:t>G</w:t>
            </w:r>
            <w:r w:rsidR="00407ACF">
              <w:rPr>
                <w:rFonts w:asciiTheme="majorHAnsi" w:hAnsiTheme="majorHAnsi" w:cstheme="majorHAnsi"/>
              </w:rPr>
              <w:t>emeindeversammlung</w:t>
            </w:r>
            <w:r w:rsidRPr="00746E17">
              <w:rPr>
                <w:rFonts w:asciiTheme="majorHAnsi" w:hAnsiTheme="majorHAnsi" w:cstheme="majorHAnsi"/>
              </w:rPr>
              <w:t xml:space="preserve"> oder der E</w:t>
            </w:r>
            <w:r w:rsidR="00407ACF">
              <w:rPr>
                <w:rFonts w:asciiTheme="majorHAnsi" w:hAnsiTheme="majorHAnsi" w:cstheme="majorHAnsi"/>
              </w:rPr>
              <w:t>inwohnerrat</w:t>
            </w:r>
            <w:r w:rsidRPr="00746E17">
              <w:rPr>
                <w:rFonts w:asciiTheme="majorHAnsi" w:hAnsiTheme="majorHAnsi" w:cstheme="majorHAnsi"/>
              </w:rPr>
              <w:t xml:space="preserve">) aufgrund von konkreten Berechnungen zu entscheiden hat. </w:t>
            </w:r>
          </w:p>
        </w:tc>
      </w:tr>
      <w:tr w:rsidR="00830F9B" w:rsidTr="007B4680">
        <w:tc>
          <w:tcPr>
            <w:tcW w:w="7143" w:type="dxa"/>
          </w:tcPr>
          <w:p w:rsidR="0031471C" w:rsidRPr="00746E17" w:rsidRDefault="00CD001B" w:rsidP="00DC3034">
            <w:pPr>
              <w:tabs>
                <w:tab w:val="left" w:pos="142"/>
              </w:tabs>
              <w:spacing w:before="60" w:after="60"/>
              <w:jc w:val="both"/>
              <w:rPr>
                <w:rFonts w:asciiTheme="majorHAnsi" w:hAnsiTheme="majorHAnsi" w:cstheme="majorHAnsi"/>
              </w:rPr>
            </w:pPr>
            <w:r w:rsidRPr="00746E17">
              <w:rPr>
                <w:rFonts w:asciiTheme="majorHAnsi" w:hAnsiTheme="majorHAnsi" w:cstheme="majorHAnsi"/>
                <w:vertAlign w:val="superscript"/>
              </w:rPr>
              <w:lastRenderedPageBreak/>
              <w:t>2 </w:t>
            </w:r>
            <w:r w:rsidRPr="007D5908">
              <w:rPr>
                <w:rFonts w:asciiTheme="majorHAnsi" w:hAnsiTheme="majorHAnsi"/>
              </w:rPr>
              <w:t>Die angemessene Jahresnettomiete entspricht dem durch die Sozialhilfebehörde festgelegten Mietzinsgrenzwert in der Sozialhilfe zuzüglich 20 % der Nettowohnungskosten als Nebenkosten.</w:t>
            </w:r>
          </w:p>
          <w:p w:rsidR="00F73604" w:rsidRPr="00746E17" w:rsidRDefault="00CD001B" w:rsidP="00DC3034">
            <w:pPr>
              <w:tabs>
                <w:tab w:val="left" w:pos="142"/>
              </w:tabs>
              <w:spacing w:before="60" w:after="60"/>
              <w:jc w:val="both"/>
              <w:rPr>
                <w:rFonts w:asciiTheme="majorHAnsi" w:hAnsiTheme="majorHAnsi" w:cstheme="majorHAnsi"/>
              </w:rPr>
            </w:pPr>
            <w:r w:rsidRPr="00746E17">
              <w:rPr>
                <w:rFonts w:asciiTheme="majorHAnsi" w:hAnsiTheme="majorHAnsi" w:cstheme="majorHAnsi"/>
                <w:highlight w:val="lightGray"/>
              </w:rPr>
              <w:t>Oder</w:t>
            </w:r>
          </w:p>
          <w:p w:rsidR="00B80F23" w:rsidRPr="00746E17" w:rsidRDefault="00CD001B" w:rsidP="00DC3034">
            <w:pPr>
              <w:tabs>
                <w:tab w:val="left" w:pos="142"/>
              </w:tabs>
              <w:spacing w:before="60" w:after="60"/>
              <w:jc w:val="both"/>
              <w:rPr>
                <w:rFonts w:asciiTheme="majorHAnsi" w:hAnsiTheme="majorHAnsi" w:cstheme="majorHAnsi"/>
              </w:rPr>
            </w:pPr>
            <w:r w:rsidRPr="00746E17">
              <w:rPr>
                <w:rFonts w:asciiTheme="majorHAnsi" w:hAnsiTheme="majorHAnsi" w:cstheme="majorHAnsi"/>
                <w:vertAlign w:val="superscript"/>
              </w:rPr>
              <w:t>2 </w:t>
            </w:r>
            <w:r w:rsidRPr="00746E17">
              <w:rPr>
                <w:rFonts w:asciiTheme="majorHAnsi" w:hAnsiTheme="majorHAnsi" w:cstheme="majorHAnsi"/>
              </w:rPr>
              <w:t xml:space="preserve">Die angemessene Jahresnettomiete entspricht </w:t>
            </w:r>
            <w:r w:rsidRPr="00746E17">
              <w:rPr>
                <w:rFonts w:asciiTheme="majorHAnsi" w:hAnsiTheme="majorHAnsi" w:cstheme="majorHAnsi"/>
                <w:highlight w:val="lightGray"/>
              </w:rPr>
              <w:t>X%</w:t>
            </w:r>
            <w:r w:rsidRPr="00746E17">
              <w:rPr>
                <w:rFonts w:asciiTheme="majorHAnsi" w:hAnsiTheme="majorHAnsi" w:cstheme="majorHAnsi"/>
              </w:rPr>
              <w:t xml:space="preserve"> der durch die Sozialhilfebehörde festgelegten Mietzinsgrenzwert in der Sozialhilfe zuzüglich 20 % der Nettowohnungskosten als Nebenkosten.</w:t>
            </w:r>
          </w:p>
          <w:p w:rsidR="00B80F23" w:rsidRPr="00746E17" w:rsidRDefault="00652AAB" w:rsidP="00DC3034">
            <w:pPr>
              <w:tabs>
                <w:tab w:val="left" w:pos="142"/>
              </w:tabs>
              <w:spacing w:before="60" w:after="60"/>
              <w:jc w:val="both"/>
              <w:rPr>
                <w:rFonts w:asciiTheme="majorHAnsi" w:hAnsiTheme="majorHAnsi" w:cstheme="majorHAnsi"/>
              </w:rPr>
            </w:pPr>
          </w:p>
          <w:p w:rsidR="00B80F23" w:rsidRPr="007D5908" w:rsidRDefault="00652AAB" w:rsidP="007D5908">
            <w:pPr>
              <w:tabs>
                <w:tab w:val="left" w:pos="142"/>
              </w:tabs>
              <w:spacing w:before="60" w:after="60"/>
              <w:jc w:val="both"/>
              <w:rPr>
                <w:rFonts w:asciiTheme="majorHAnsi" w:hAnsiTheme="majorHAnsi"/>
              </w:rPr>
            </w:pPr>
          </w:p>
        </w:tc>
        <w:tc>
          <w:tcPr>
            <w:tcW w:w="7883" w:type="dxa"/>
          </w:tcPr>
          <w:p w:rsidR="0031471C" w:rsidRPr="007D5908" w:rsidRDefault="00CD001B" w:rsidP="007D5908">
            <w:pPr>
              <w:pStyle w:val="Default"/>
              <w:spacing w:before="60" w:after="60"/>
              <w:rPr>
                <w:rFonts w:asciiTheme="majorHAnsi" w:hAnsiTheme="majorHAnsi"/>
                <w:sz w:val="22"/>
              </w:rPr>
            </w:pPr>
            <w:r w:rsidRPr="00746E17">
              <w:rPr>
                <w:rFonts w:asciiTheme="majorHAnsi" w:hAnsiTheme="majorHAnsi" w:cstheme="majorHAnsi"/>
                <w:sz w:val="22"/>
                <w:szCs w:val="22"/>
              </w:rPr>
              <w:t xml:space="preserve">Die </w:t>
            </w:r>
            <w:r w:rsidRPr="007D5908">
              <w:rPr>
                <w:rFonts w:asciiTheme="majorHAnsi" w:hAnsiTheme="majorHAnsi"/>
                <w:sz w:val="22"/>
              </w:rPr>
              <w:t>angemessene Jahresnettomiete</w:t>
            </w:r>
            <w:r w:rsidRPr="00746E17">
              <w:rPr>
                <w:rFonts w:asciiTheme="majorHAnsi" w:hAnsiTheme="majorHAnsi" w:cstheme="majorHAnsi"/>
                <w:sz w:val="22"/>
                <w:szCs w:val="22"/>
              </w:rPr>
              <w:t xml:space="preserve"> muss</w:t>
            </w:r>
            <w:r w:rsidRPr="007D5908">
              <w:rPr>
                <w:rFonts w:asciiTheme="majorHAnsi" w:hAnsiTheme="majorHAnsi"/>
                <w:sz w:val="22"/>
              </w:rPr>
              <w:t xml:space="preserve"> mindestens dem festgelegten Mietzinsgrenzwert in der Sozialhilfe zuzüglich 20% als Nebenkosten</w:t>
            </w:r>
            <w:r w:rsidRPr="00746E17">
              <w:rPr>
                <w:rFonts w:asciiTheme="majorHAnsi" w:hAnsiTheme="majorHAnsi" w:cstheme="majorHAnsi"/>
                <w:sz w:val="22"/>
                <w:szCs w:val="22"/>
              </w:rPr>
              <w:t xml:space="preserve"> </w:t>
            </w:r>
            <w:r w:rsidR="007D5908">
              <w:rPr>
                <w:rFonts w:asciiTheme="majorHAnsi" w:hAnsiTheme="majorHAnsi" w:cstheme="majorHAnsi"/>
                <w:sz w:val="22"/>
                <w:szCs w:val="22"/>
              </w:rPr>
              <w:t>entsprechen</w:t>
            </w:r>
            <w:r w:rsidRPr="00746E17">
              <w:rPr>
                <w:rFonts w:asciiTheme="majorHAnsi" w:hAnsiTheme="majorHAnsi" w:cstheme="majorHAnsi"/>
                <w:sz w:val="22"/>
                <w:szCs w:val="22"/>
              </w:rPr>
              <w:t>.</w:t>
            </w:r>
            <w:r w:rsidR="003F096E">
              <w:rPr>
                <w:rFonts w:asciiTheme="majorHAnsi" w:hAnsiTheme="majorHAnsi" w:cstheme="majorHAnsi"/>
                <w:sz w:val="22"/>
                <w:szCs w:val="22"/>
              </w:rPr>
              <w:t xml:space="preserve"> </w:t>
            </w:r>
            <w:r w:rsidRPr="00746E17">
              <w:rPr>
                <w:rFonts w:asciiTheme="majorHAnsi" w:hAnsiTheme="majorHAnsi" w:cstheme="majorHAnsi"/>
                <w:sz w:val="22"/>
                <w:szCs w:val="22"/>
              </w:rPr>
              <w:t xml:space="preserve">Die Gemeinde kann genau diesen Wert nehmen (Variante 1), oder auch einen höheren Wert festlegen, seien es 110%, 115% oder mehr des von der SHB festgelegten Mietzinsgrenzwertes plus 20% NK (Variante 2). </w:t>
            </w:r>
          </w:p>
          <w:p w:rsidR="0031471C" w:rsidRPr="007D5908" w:rsidRDefault="00CD001B" w:rsidP="007D5908">
            <w:pPr>
              <w:pStyle w:val="Default"/>
              <w:spacing w:before="60" w:after="60"/>
              <w:rPr>
                <w:rFonts w:asciiTheme="majorHAnsi" w:hAnsiTheme="majorHAnsi"/>
                <w:sz w:val="22"/>
              </w:rPr>
            </w:pPr>
            <w:r w:rsidRPr="007D5908">
              <w:rPr>
                <w:rFonts w:asciiTheme="majorHAnsi" w:hAnsiTheme="majorHAnsi"/>
                <w:sz w:val="22"/>
              </w:rPr>
              <w:t xml:space="preserve">Je höher die angemessene Jahresnettomiete </w:t>
            </w:r>
            <w:r w:rsidRPr="00746E17">
              <w:rPr>
                <w:rFonts w:asciiTheme="majorHAnsi" w:hAnsiTheme="majorHAnsi" w:cstheme="majorHAnsi"/>
                <w:sz w:val="22"/>
                <w:szCs w:val="22"/>
              </w:rPr>
              <w:t>zu liegen kommt</w:t>
            </w:r>
            <w:r w:rsidRPr="007D5908">
              <w:rPr>
                <w:rFonts w:asciiTheme="majorHAnsi" w:hAnsiTheme="majorHAnsi"/>
                <w:sz w:val="22"/>
              </w:rPr>
              <w:t xml:space="preserve">, desto mehr Haushalte werden einen Anspruch auf Mietzinsbeiträge geltend machen können. Den damit verbundenen Mehrkosten stehen Substitutionseffekte bezüglich der Sozialhilfe gegenüber (siehe </w:t>
            </w:r>
            <w:hyperlink r:id="rId8" w:history="1">
              <w:r w:rsidRPr="007D5908">
                <w:rPr>
                  <w:rStyle w:val="Hyperlink"/>
                  <w:rFonts w:asciiTheme="majorHAnsi" w:hAnsiTheme="majorHAnsi"/>
                  <w:sz w:val="22"/>
                </w:rPr>
                <w:t>Landratsvorlage 2022/386 vom 21.6.2022</w:t>
              </w:r>
            </w:hyperlink>
            <w:r w:rsidRPr="007D5908">
              <w:rPr>
                <w:rFonts w:asciiTheme="majorHAnsi" w:hAnsiTheme="majorHAnsi"/>
                <w:sz w:val="22"/>
              </w:rPr>
              <w:t>, Abschnitt 2.11.2, S. 25f): Neueintritte in die Sozialhilfe von Haushalten mit einem geringen Unterstützungsbedarf können verhindert und Haushalte mit einer geringen Deckungsquote aus der Sozialhilfe abgelöst werden.</w:t>
            </w:r>
          </w:p>
        </w:tc>
      </w:tr>
      <w:tr w:rsidR="00830F9B" w:rsidTr="007B4680">
        <w:tc>
          <w:tcPr>
            <w:tcW w:w="7143" w:type="dxa"/>
          </w:tcPr>
          <w:p w:rsidR="0031471C" w:rsidRPr="007D5908" w:rsidRDefault="00CD001B" w:rsidP="007D5908">
            <w:pPr>
              <w:numPr>
                <w:ilvl w:val="0"/>
                <w:numId w:val="26"/>
              </w:numPr>
              <w:spacing w:before="60" w:after="60"/>
              <w:jc w:val="both"/>
              <w:rPr>
                <w:rFonts w:asciiTheme="majorHAnsi" w:hAnsiTheme="majorHAnsi"/>
                <w:b/>
              </w:rPr>
            </w:pPr>
            <w:r w:rsidRPr="007D5908">
              <w:rPr>
                <w:rFonts w:asciiTheme="majorHAnsi" w:hAnsiTheme="majorHAnsi"/>
                <w:b/>
              </w:rPr>
              <w:t xml:space="preserve">Einkommensgrenze </w:t>
            </w:r>
          </w:p>
          <w:p w:rsidR="0031471C" w:rsidRPr="00746E17" w:rsidRDefault="00407ACF" w:rsidP="00DC3034">
            <w:pPr>
              <w:tabs>
                <w:tab w:val="left" w:pos="142"/>
              </w:tabs>
              <w:spacing w:before="60" w:after="60"/>
              <w:jc w:val="both"/>
              <w:rPr>
                <w:rFonts w:asciiTheme="majorHAnsi" w:hAnsiTheme="majorHAnsi" w:cstheme="majorHAnsi"/>
                <w:bCs/>
              </w:rPr>
            </w:pPr>
            <w:r w:rsidRPr="00746E17">
              <w:rPr>
                <w:rFonts w:asciiTheme="majorHAnsi" w:hAnsiTheme="majorHAnsi" w:cstheme="majorHAnsi"/>
                <w:bCs/>
                <w:vertAlign w:val="superscript"/>
              </w:rPr>
              <w:t>1 </w:t>
            </w:r>
            <w:r w:rsidR="00CD001B" w:rsidRPr="007D5908">
              <w:rPr>
                <w:rFonts w:asciiTheme="majorHAnsi" w:hAnsiTheme="majorHAnsi"/>
              </w:rPr>
              <w:t xml:space="preserve">Der zur Berechnung der Einkommensgrenze verwendete allgemeine Lebensbedarf entspricht </w:t>
            </w:r>
            <w:r w:rsidR="00CD001B" w:rsidRPr="007D5908">
              <w:rPr>
                <w:rFonts w:asciiTheme="majorHAnsi" w:hAnsiTheme="majorHAnsi"/>
                <w:highlight w:val="lightGray"/>
              </w:rPr>
              <w:t>130 %</w:t>
            </w:r>
            <w:r w:rsidR="00CD001B" w:rsidRPr="007D5908">
              <w:rPr>
                <w:rFonts w:asciiTheme="majorHAnsi" w:hAnsiTheme="majorHAnsi"/>
              </w:rPr>
              <w:t xml:space="preserve"> des Grundbedarfs gemäss § 9 der Sozialhilfeverordnung</w:t>
            </w:r>
            <w:r w:rsidR="00CD001B">
              <w:rPr>
                <w:rStyle w:val="Funotenzeichen"/>
                <w:rFonts w:asciiTheme="majorHAnsi" w:hAnsiTheme="majorHAnsi" w:cstheme="majorHAnsi"/>
                <w:bCs/>
              </w:rPr>
              <w:footnoteReference w:id="5"/>
            </w:r>
            <w:r w:rsidR="00CD001B" w:rsidRPr="00746E17">
              <w:rPr>
                <w:rFonts w:asciiTheme="majorHAnsi" w:hAnsiTheme="majorHAnsi" w:cstheme="majorHAnsi"/>
                <w:bCs/>
              </w:rPr>
              <w:t>.</w:t>
            </w:r>
          </w:p>
          <w:p w:rsidR="00BF33D6" w:rsidRPr="00746E17" w:rsidRDefault="00CD001B" w:rsidP="00DC3034">
            <w:pPr>
              <w:tabs>
                <w:tab w:val="left" w:pos="142"/>
              </w:tabs>
              <w:spacing w:before="60" w:after="60"/>
              <w:jc w:val="both"/>
              <w:rPr>
                <w:rFonts w:asciiTheme="majorHAnsi" w:hAnsiTheme="majorHAnsi" w:cstheme="majorHAnsi"/>
                <w:bCs/>
              </w:rPr>
            </w:pPr>
            <w:r w:rsidRPr="00746E17">
              <w:rPr>
                <w:rFonts w:asciiTheme="majorHAnsi" w:hAnsiTheme="majorHAnsi" w:cstheme="majorHAnsi"/>
                <w:bCs/>
                <w:highlight w:val="lightGray"/>
              </w:rPr>
              <w:t>Oder</w:t>
            </w:r>
          </w:p>
          <w:p w:rsidR="00BF33D6" w:rsidRPr="007D5908" w:rsidRDefault="00407ACF" w:rsidP="007D5908">
            <w:pPr>
              <w:tabs>
                <w:tab w:val="left" w:pos="142"/>
              </w:tabs>
              <w:spacing w:before="60" w:after="60"/>
              <w:jc w:val="both"/>
              <w:rPr>
                <w:rFonts w:asciiTheme="majorHAnsi" w:hAnsiTheme="majorHAnsi"/>
              </w:rPr>
            </w:pPr>
            <w:r w:rsidRPr="00746E17">
              <w:rPr>
                <w:rFonts w:asciiTheme="majorHAnsi" w:hAnsiTheme="majorHAnsi" w:cstheme="majorHAnsi"/>
                <w:bCs/>
                <w:vertAlign w:val="superscript"/>
              </w:rPr>
              <w:t>1 </w:t>
            </w:r>
            <w:r w:rsidR="00CD001B" w:rsidRPr="00746E17">
              <w:rPr>
                <w:rFonts w:asciiTheme="majorHAnsi" w:hAnsiTheme="majorHAnsi" w:cstheme="majorHAnsi"/>
                <w:bCs/>
              </w:rPr>
              <w:t xml:space="preserve">Der zur Berechnung der Einkommensgrenze verwendete allgemeine Lebensbedarf entspricht </w:t>
            </w:r>
            <w:r w:rsidR="00CD001B" w:rsidRPr="00746E17">
              <w:rPr>
                <w:rFonts w:asciiTheme="majorHAnsi" w:hAnsiTheme="majorHAnsi" w:cstheme="majorHAnsi"/>
                <w:bCs/>
                <w:highlight w:val="lightGray"/>
              </w:rPr>
              <w:t>X %</w:t>
            </w:r>
            <w:r w:rsidR="00CD001B" w:rsidRPr="00746E17">
              <w:rPr>
                <w:rFonts w:asciiTheme="majorHAnsi" w:hAnsiTheme="majorHAnsi" w:cstheme="majorHAnsi"/>
                <w:bCs/>
              </w:rPr>
              <w:t xml:space="preserve"> des Grundbedarfs gemäss § 9 der Sozialhilfeverordnung</w:t>
            </w:r>
            <w:r w:rsidR="00CD001B">
              <w:rPr>
                <w:rStyle w:val="Funotenzeichen"/>
                <w:rFonts w:asciiTheme="majorHAnsi" w:hAnsiTheme="majorHAnsi" w:cstheme="majorHAnsi"/>
                <w:bCs/>
              </w:rPr>
              <w:footnoteReference w:id="6"/>
            </w:r>
            <w:r w:rsidR="00CD001B" w:rsidRPr="00746E17">
              <w:rPr>
                <w:rFonts w:asciiTheme="majorHAnsi" w:hAnsiTheme="majorHAnsi" w:cstheme="majorHAnsi"/>
                <w:bCs/>
              </w:rPr>
              <w:t>.</w:t>
            </w:r>
          </w:p>
        </w:tc>
        <w:tc>
          <w:tcPr>
            <w:tcW w:w="7883" w:type="dxa"/>
          </w:tcPr>
          <w:p w:rsidR="00B43319" w:rsidRPr="00746E17" w:rsidRDefault="00652AAB" w:rsidP="00DC3034">
            <w:pPr>
              <w:pStyle w:val="Default"/>
              <w:spacing w:before="60" w:after="60"/>
              <w:rPr>
                <w:rFonts w:asciiTheme="majorHAnsi" w:hAnsiTheme="majorHAnsi" w:cstheme="majorHAnsi"/>
                <w:sz w:val="22"/>
                <w:szCs w:val="22"/>
              </w:rPr>
            </w:pPr>
          </w:p>
          <w:p w:rsidR="00BF33D6" w:rsidRPr="00746E17" w:rsidRDefault="00CD001B" w:rsidP="00DC3034">
            <w:pPr>
              <w:pStyle w:val="Default"/>
              <w:spacing w:before="60" w:after="60"/>
              <w:rPr>
                <w:rFonts w:asciiTheme="majorHAnsi" w:hAnsiTheme="majorHAnsi" w:cstheme="majorHAnsi"/>
                <w:sz w:val="22"/>
                <w:szCs w:val="22"/>
              </w:rPr>
            </w:pPr>
            <w:r w:rsidRPr="00746E17">
              <w:rPr>
                <w:rFonts w:asciiTheme="majorHAnsi" w:hAnsiTheme="majorHAnsi" w:cstheme="majorHAnsi"/>
                <w:sz w:val="22"/>
                <w:szCs w:val="22"/>
              </w:rPr>
              <w:t xml:space="preserve">Konkretisierung der Bestimmungen in </w:t>
            </w:r>
            <w:r w:rsidRPr="00746E17">
              <w:rPr>
                <w:rFonts w:asciiTheme="majorHAnsi" w:hAnsiTheme="majorHAnsi" w:cstheme="majorHAnsi"/>
                <w:bCs/>
                <w:sz w:val="22"/>
              </w:rPr>
              <w:t xml:space="preserve">§ 6 MBG </w:t>
            </w:r>
            <w:proofErr w:type="spellStart"/>
            <w:r w:rsidRPr="00746E17">
              <w:rPr>
                <w:rFonts w:asciiTheme="majorHAnsi" w:hAnsiTheme="majorHAnsi" w:cstheme="majorHAnsi"/>
                <w:bCs/>
                <w:sz w:val="22"/>
              </w:rPr>
              <w:t>i.V.m</w:t>
            </w:r>
            <w:proofErr w:type="spellEnd"/>
            <w:r w:rsidRPr="00746E17">
              <w:rPr>
                <w:rFonts w:asciiTheme="majorHAnsi" w:hAnsiTheme="majorHAnsi" w:cstheme="majorHAnsi"/>
                <w:bCs/>
                <w:sz w:val="22"/>
              </w:rPr>
              <w:t xml:space="preserve">. </w:t>
            </w:r>
            <w:r w:rsidRPr="007D5908">
              <w:rPr>
                <w:rFonts w:asciiTheme="majorHAnsi" w:hAnsiTheme="majorHAnsi"/>
                <w:sz w:val="22"/>
              </w:rPr>
              <w:t xml:space="preserve">§ 2 Abs. </w:t>
            </w:r>
            <w:r w:rsidRPr="00746E17">
              <w:rPr>
                <w:rFonts w:asciiTheme="majorHAnsi" w:hAnsiTheme="majorHAnsi" w:cstheme="majorHAnsi"/>
                <w:bCs/>
                <w:sz w:val="22"/>
              </w:rPr>
              <w:t xml:space="preserve">1 </w:t>
            </w:r>
            <w:proofErr w:type="spellStart"/>
            <w:r w:rsidRPr="00746E17">
              <w:rPr>
                <w:rFonts w:asciiTheme="majorHAnsi" w:hAnsiTheme="majorHAnsi" w:cstheme="majorHAnsi"/>
                <w:bCs/>
                <w:sz w:val="22"/>
              </w:rPr>
              <w:t>Vo</w:t>
            </w:r>
            <w:proofErr w:type="spellEnd"/>
            <w:r w:rsidRPr="00746E17">
              <w:rPr>
                <w:rFonts w:asciiTheme="majorHAnsi" w:hAnsiTheme="majorHAnsi" w:cstheme="majorHAnsi"/>
                <w:bCs/>
                <w:sz w:val="22"/>
              </w:rPr>
              <w:t xml:space="preserve"> MBG. </w:t>
            </w:r>
          </w:p>
          <w:p w:rsidR="0031471C" w:rsidRPr="007D5908" w:rsidRDefault="00CD001B" w:rsidP="007D5908">
            <w:pPr>
              <w:pStyle w:val="Default"/>
              <w:spacing w:before="60" w:after="60"/>
              <w:rPr>
                <w:rFonts w:asciiTheme="majorHAnsi" w:hAnsiTheme="majorHAnsi"/>
                <w:sz w:val="22"/>
              </w:rPr>
            </w:pPr>
            <w:r w:rsidRPr="007D5908">
              <w:rPr>
                <w:rFonts w:asciiTheme="majorHAnsi" w:hAnsiTheme="majorHAnsi"/>
                <w:sz w:val="22"/>
              </w:rPr>
              <w:t xml:space="preserve">Die Gemeinde </w:t>
            </w:r>
            <w:r w:rsidRPr="00746E17">
              <w:rPr>
                <w:rFonts w:asciiTheme="majorHAnsi" w:hAnsiTheme="majorHAnsi" w:cstheme="majorHAnsi"/>
                <w:sz w:val="22"/>
                <w:szCs w:val="22"/>
              </w:rPr>
              <w:t>muss</w:t>
            </w:r>
            <w:r w:rsidRPr="007D5908">
              <w:rPr>
                <w:rFonts w:asciiTheme="majorHAnsi" w:hAnsiTheme="majorHAnsi"/>
                <w:sz w:val="22"/>
              </w:rPr>
              <w:t xml:space="preserve"> den Faktor</w:t>
            </w:r>
            <w:r w:rsidRPr="00746E17">
              <w:rPr>
                <w:rFonts w:asciiTheme="majorHAnsi" w:hAnsiTheme="majorHAnsi" w:cstheme="majorHAnsi"/>
                <w:sz w:val="22"/>
                <w:szCs w:val="22"/>
              </w:rPr>
              <w:t xml:space="preserve"> festlegen</w:t>
            </w:r>
            <w:r w:rsidRPr="007D5908">
              <w:rPr>
                <w:rFonts w:asciiTheme="majorHAnsi" w:hAnsiTheme="majorHAnsi"/>
                <w:sz w:val="22"/>
              </w:rPr>
              <w:t xml:space="preserve">, mit welchem der Grundbedarf gemäss Sozialhilfegesetzgebung (§ 9 Sozialhilfeverordnung [SHV, </w:t>
            </w:r>
            <w:hyperlink r:id="rId9" w:history="1">
              <w:r w:rsidRPr="007D5908">
                <w:rPr>
                  <w:rStyle w:val="Hyperlink"/>
                  <w:rFonts w:asciiTheme="majorHAnsi" w:hAnsiTheme="majorHAnsi"/>
                  <w:sz w:val="22"/>
                </w:rPr>
                <w:t>SGS 850.11</w:t>
              </w:r>
            </w:hyperlink>
            <w:r w:rsidRPr="007D5908">
              <w:rPr>
                <w:rFonts w:asciiTheme="majorHAnsi" w:hAnsiTheme="majorHAnsi"/>
                <w:sz w:val="22"/>
              </w:rPr>
              <w:t>]) als allgemeiner Lebensbedarf in die Berechnung der Einkommensgrenze einfliesst. Der Faktor entspricht mindestens 130%.</w:t>
            </w:r>
            <w:r w:rsidRPr="00746E17">
              <w:rPr>
                <w:rFonts w:asciiTheme="majorHAnsi" w:hAnsiTheme="majorHAnsi" w:cstheme="majorHAnsi"/>
                <w:sz w:val="22"/>
                <w:szCs w:val="22"/>
              </w:rPr>
              <w:t xml:space="preserve"> </w:t>
            </w:r>
          </w:p>
          <w:p w:rsidR="00755EF6" w:rsidRPr="007D5908" w:rsidRDefault="00755EF6" w:rsidP="007D5908">
            <w:pPr>
              <w:pStyle w:val="Default"/>
              <w:spacing w:before="60" w:after="60"/>
              <w:rPr>
                <w:rFonts w:asciiTheme="majorHAnsi" w:hAnsiTheme="majorHAnsi"/>
                <w:sz w:val="22"/>
              </w:rPr>
            </w:pPr>
          </w:p>
          <w:p w:rsidR="0031471C" w:rsidRPr="005D0098" w:rsidRDefault="00CD001B" w:rsidP="007D5908">
            <w:pPr>
              <w:spacing w:before="60" w:after="60"/>
              <w:jc w:val="both"/>
              <w:rPr>
                <w:rFonts w:asciiTheme="majorHAnsi" w:hAnsiTheme="majorHAnsi"/>
              </w:rPr>
            </w:pPr>
            <w:r w:rsidRPr="007D5908">
              <w:rPr>
                <w:rFonts w:asciiTheme="majorHAnsi" w:hAnsiTheme="majorHAnsi"/>
              </w:rPr>
              <w:t xml:space="preserve">Je höher der Faktor festgesetzt wird, desto höher ist die Einkommensgrenze und desto mehr Personen haben potenziell Anspruch auf Mietzinsbeiträge. </w:t>
            </w:r>
            <w:r w:rsidRPr="00746E17">
              <w:rPr>
                <w:rFonts w:asciiTheme="majorHAnsi" w:hAnsiTheme="majorHAnsi" w:cstheme="majorHAnsi"/>
              </w:rPr>
              <w:t>Auch hier gilt, dass den</w:t>
            </w:r>
            <w:r w:rsidRPr="007D5908">
              <w:rPr>
                <w:rFonts w:asciiTheme="majorHAnsi" w:hAnsiTheme="majorHAnsi"/>
              </w:rPr>
              <w:t xml:space="preserve"> damit verbundenen Mehrkosten Substitutionseffekte bezüglich der Sozialhilfe gegenüber</w:t>
            </w:r>
            <w:r w:rsidRPr="00746E17">
              <w:rPr>
                <w:rFonts w:asciiTheme="majorHAnsi" w:hAnsiTheme="majorHAnsi" w:cstheme="majorHAnsi"/>
              </w:rPr>
              <w:t>stehen (vgl.</w:t>
            </w:r>
            <w:r w:rsidRPr="007D5908">
              <w:rPr>
                <w:rFonts w:asciiTheme="majorHAnsi" w:hAnsiTheme="majorHAnsi"/>
              </w:rPr>
              <w:t xml:space="preserve"> die </w:t>
            </w:r>
            <w:r w:rsidRPr="00746E17">
              <w:rPr>
                <w:rFonts w:asciiTheme="majorHAnsi" w:hAnsiTheme="majorHAnsi" w:cstheme="majorHAnsi"/>
              </w:rPr>
              <w:t xml:space="preserve">Ausführungen zu § 2). </w:t>
            </w:r>
          </w:p>
        </w:tc>
      </w:tr>
      <w:tr w:rsidR="00830F9B" w:rsidTr="007B4680">
        <w:tc>
          <w:tcPr>
            <w:tcW w:w="7143" w:type="dxa"/>
          </w:tcPr>
          <w:p w:rsidR="0031471C" w:rsidRPr="007D5908" w:rsidRDefault="00CD001B" w:rsidP="007D5908">
            <w:pPr>
              <w:numPr>
                <w:ilvl w:val="0"/>
                <w:numId w:val="26"/>
              </w:numPr>
              <w:spacing w:before="60" w:after="60"/>
              <w:jc w:val="both"/>
              <w:rPr>
                <w:rFonts w:asciiTheme="majorHAnsi" w:hAnsiTheme="majorHAnsi"/>
                <w:b/>
              </w:rPr>
            </w:pPr>
            <w:r w:rsidRPr="007D5908">
              <w:rPr>
                <w:rFonts w:asciiTheme="majorHAnsi" w:hAnsiTheme="majorHAnsi"/>
                <w:b/>
              </w:rPr>
              <w:t xml:space="preserve">Vermögensgrenze </w:t>
            </w:r>
          </w:p>
          <w:p w:rsidR="0031471C" w:rsidRPr="00746E17" w:rsidRDefault="00CD001B" w:rsidP="00DC3034">
            <w:pPr>
              <w:tabs>
                <w:tab w:val="left" w:pos="142"/>
              </w:tabs>
              <w:spacing w:before="60" w:after="60"/>
              <w:jc w:val="both"/>
              <w:rPr>
                <w:rFonts w:asciiTheme="majorHAnsi" w:hAnsiTheme="majorHAnsi" w:cstheme="majorHAnsi"/>
                <w:bCs/>
              </w:rPr>
            </w:pPr>
            <w:r w:rsidRPr="00746E17">
              <w:rPr>
                <w:rFonts w:asciiTheme="majorHAnsi" w:hAnsiTheme="majorHAnsi" w:cstheme="majorHAnsi"/>
                <w:bCs/>
                <w:vertAlign w:val="superscript"/>
              </w:rPr>
              <w:lastRenderedPageBreak/>
              <w:t>1 </w:t>
            </w:r>
            <w:r w:rsidRPr="007D5908">
              <w:rPr>
                <w:rFonts w:asciiTheme="majorHAnsi" w:hAnsiTheme="majorHAnsi"/>
              </w:rPr>
              <w:t xml:space="preserve">Die Vermögensgrenze entspricht dem </w:t>
            </w:r>
            <w:r w:rsidRPr="007D5908">
              <w:rPr>
                <w:rFonts w:asciiTheme="majorHAnsi" w:hAnsiTheme="majorHAnsi"/>
                <w:highlight w:val="lightGray"/>
              </w:rPr>
              <w:t>5-fachen</w:t>
            </w:r>
            <w:r w:rsidRPr="007D5908">
              <w:rPr>
                <w:rFonts w:asciiTheme="majorHAnsi" w:hAnsiTheme="majorHAnsi"/>
              </w:rPr>
              <w:t xml:space="preserve"> der freien Vermögensbeträge gemäss § 16 Abs. 2 der Sozialhilfeverordnung</w:t>
            </w:r>
            <w:r>
              <w:rPr>
                <w:rStyle w:val="Funotenzeichen"/>
                <w:rFonts w:asciiTheme="majorHAnsi" w:hAnsiTheme="majorHAnsi" w:cstheme="majorHAnsi"/>
                <w:bCs/>
              </w:rPr>
              <w:footnoteReference w:id="7"/>
            </w:r>
            <w:r w:rsidRPr="00746E17">
              <w:rPr>
                <w:rFonts w:asciiTheme="majorHAnsi" w:hAnsiTheme="majorHAnsi" w:cstheme="majorHAnsi"/>
                <w:bCs/>
              </w:rPr>
              <w:t>.</w:t>
            </w:r>
          </w:p>
          <w:p w:rsidR="007029FA" w:rsidRPr="00746E17" w:rsidRDefault="00CD001B" w:rsidP="00DC3034">
            <w:pPr>
              <w:tabs>
                <w:tab w:val="left" w:pos="142"/>
              </w:tabs>
              <w:spacing w:before="60" w:after="60"/>
              <w:jc w:val="both"/>
              <w:rPr>
                <w:rFonts w:asciiTheme="majorHAnsi" w:hAnsiTheme="majorHAnsi" w:cstheme="majorHAnsi"/>
                <w:bCs/>
              </w:rPr>
            </w:pPr>
            <w:r w:rsidRPr="00746E17">
              <w:rPr>
                <w:rFonts w:asciiTheme="majorHAnsi" w:hAnsiTheme="majorHAnsi" w:cstheme="majorHAnsi"/>
                <w:bCs/>
                <w:highlight w:val="lightGray"/>
              </w:rPr>
              <w:t>Oder</w:t>
            </w:r>
          </w:p>
          <w:p w:rsidR="008546D0" w:rsidRPr="007D5908" w:rsidRDefault="00CD001B" w:rsidP="00D61F38">
            <w:pPr>
              <w:tabs>
                <w:tab w:val="left" w:pos="142"/>
              </w:tabs>
              <w:spacing w:before="60" w:after="60"/>
              <w:jc w:val="both"/>
              <w:rPr>
                <w:rFonts w:asciiTheme="majorHAnsi" w:hAnsiTheme="majorHAnsi"/>
              </w:rPr>
            </w:pPr>
            <w:r w:rsidRPr="00746E17">
              <w:rPr>
                <w:rFonts w:asciiTheme="majorHAnsi" w:hAnsiTheme="majorHAnsi" w:cstheme="majorHAnsi"/>
                <w:bCs/>
                <w:vertAlign w:val="superscript"/>
              </w:rPr>
              <w:t>1 </w:t>
            </w:r>
            <w:r w:rsidRPr="00746E17">
              <w:rPr>
                <w:rFonts w:asciiTheme="majorHAnsi" w:hAnsiTheme="majorHAnsi" w:cstheme="majorHAnsi"/>
                <w:bCs/>
              </w:rPr>
              <w:t xml:space="preserve">Die Vermögensgrenze entspricht dem </w:t>
            </w:r>
            <w:proofErr w:type="spellStart"/>
            <w:r w:rsidRPr="00746E17">
              <w:rPr>
                <w:rFonts w:asciiTheme="majorHAnsi" w:hAnsiTheme="majorHAnsi" w:cstheme="majorHAnsi"/>
                <w:bCs/>
                <w:highlight w:val="lightGray"/>
              </w:rPr>
              <w:t>X-fachen</w:t>
            </w:r>
            <w:proofErr w:type="spellEnd"/>
            <w:r w:rsidRPr="00746E17">
              <w:rPr>
                <w:rFonts w:asciiTheme="majorHAnsi" w:hAnsiTheme="majorHAnsi" w:cstheme="majorHAnsi"/>
                <w:bCs/>
              </w:rPr>
              <w:t xml:space="preserve"> der freien </w:t>
            </w:r>
            <w:r w:rsidRPr="00746E17">
              <w:rPr>
                <w:rFonts w:asciiTheme="majorHAnsi" w:hAnsiTheme="majorHAnsi" w:cstheme="majorHAnsi"/>
              </w:rPr>
              <w:t>Vermögensbeträge</w:t>
            </w:r>
            <w:r w:rsidRPr="00746E17">
              <w:rPr>
                <w:rFonts w:asciiTheme="majorHAnsi" w:hAnsiTheme="majorHAnsi" w:cstheme="majorHAnsi"/>
                <w:bCs/>
              </w:rPr>
              <w:t xml:space="preserve"> gemäss § 16 Abs. 2 der Sozialhilfeverordnung</w:t>
            </w:r>
            <w:r>
              <w:rPr>
                <w:rStyle w:val="Funotenzeichen"/>
                <w:rFonts w:asciiTheme="majorHAnsi" w:hAnsiTheme="majorHAnsi" w:cstheme="majorHAnsi"/>
                <w:bCs/>
              </w:rPr>
              <w:footnoteReference w:id="8"/>
            </w:r>
            <w:r w:rsidRPr="00746E17">
              <w:rPr>
                <w:rFonts w:asciiTheme="majorHAnsi" w:hAnsiTheme="majorHAnsi" w:cstheme="majorHAnsi"/>
                <w:bCs/>
              </w:rPr>
              <w:t>.</w:t>
            </w:r>
          </w:p>
        </w:tc>
        <w:tc>
          <w:tcPr>
            <w:tcW w:w="7883" w:type="dxa"/>
          </w:tcPr>
          <w:p w:rsidR="00746E17" w:rsidRPr="00746E17" w:rsidRDefault="00652AAB" w:rsidP="00DC3034">
            <w:pPr>
              <w:pStyle w:val="Default"/>
              <w:pageBreakBefore/>
              <w:spacing w:before="60" w:after="60"/>
              <w:rPr>
                <w:rFonts w:asciiTheme="majorHAnsi" w:hAnsiTheme="majorHAnsi" w:cstheme="majorHAnsi"/>
                <w:color w:val="auto"/>
                <w:sz w:val="22"/>
                <w:szCs w:val="22"/>
              </w:rPr>
            </w:pPr>
          </w:p>
          <w:p w:rsidR="007029FA" w:rsidRPr="00746E17" w:rsidRDefault="00CD001B" w:rsidP="00DC3034">
            <w:pPr>
              <w:pStyle w:val="Default"/>
              <w:pageBreakBefore/>
              <w:spacing w:before="60" w:after="60"/>
              <w:rPr>
                <w:rFonts w:asciiTheme="majorHAnsi" w:hAnsiTheme="majorHAnsi" w:cstheme="majorHAnsi"/>
                <w:color w:val="auto"/>
                <w:sz w:val="22"/>
                <w:szCs w:val="22"/>
              </w:rPr>
            </w:pPr>
            <w:r w:rsidRPr="00746E17">
              <w:rPr>
                <w:rFonts w:asciiTheme="majorHAnsi" w:hAnsiTheme="majorHAnsi" w:cstheme="majorHAnsi"/>
                <w:color w:val="auto"/>
                <w:sz w:val="22"/>
                <w:szCs w:val="22"/>
              </w:rPr>
              <w:t xml:space="preserve">Konkretisierung der Bestimmungen in </w:t>
            </w:r>
            <w:r w:rsidRPr="00746E17">
              <w:rPr>
                <w:rFonts w:asciiTheme="majorHAnsi" w:hAnsiTheme="majorHAnsi" w:cstheme="majorHAnsi"/>
                <w:bCs/>
                <w:sz w:val="22"/>
              </w:rPr>
              <w:t xml:space="preserve">§ 7 MBG </w:t>
            </w:r>
            <w:proofErr w:type="spellStart"/>
            <w:r w:rsidRPr="00746E17">
              <w:rPr>
                <w:rFonts w:asciiTheme="majorHAnsi" w:hAnsiTheme="majorHAnsi" w:cstheme="majorHAnsi"/>
                <w:bCs/>
                <w:sz w:val="22"/>
              </w:rPr>
              <w:t>i.V.m</w:t>
            </w:r>
            <w:proofErr w:type="spellEnd"/>
            <w:r w:rsidRPr="00746E17">
              <w:rPr>
                <w:rFonts w:asciiTheme="majorHAnsi" w:hAnsiTheme="majorHAnsi" w:cstheme="majorHAnsi"/>
                <w:bCs/>
                <w:sz w:val="22"/>
              </w:rPr>
              <w:t xml:space="preserve">. § 3 </w:t>
            </w:r>
            <w:proofErr w:type="spellStart"/>
            <w:r w:rsidRPr="00746E17">
              <w:rPr>
                <w:rFonts w:asciiTheme="majorHAnsi" w:hAnsiTheme="majorHAnsi" w:cstheme="majorHAnsi"/>
                <w:bCs/>
                <w:sz w:val="22"/>
              </w:rPr>
              <w:t>Vo</w:t>
            </w:r>
            <w:proofErr w:type="spellEnd"/>
            <w:r w:rsidRPr="00746E17">
              <w:rPr>
                <w:rFonts w:asciiTheme="majorHAnsi" w:hAnsiTheme="majorHAnsi" w:cstheme="majorHAnsi"/>
                <w:bCs/>
                <w:sz w:val="22"/>
              </w:rPr>
              <w:t xml:space="preserve"> MBG. </w:t>
            </w:r>
          </w:p>
          <w:p w:rsidR="007029FA" w:rsidRPr="009C7F34" w:rsidRDefault="00CD001B" w:rsidP="009C7F34">
            <w:pPr>
              <w:pStyle w:val="Default"/>
              <w:pageBreakBefore/>
              <w:spacing w:before="60" w:after="60"/>
              <w:rPr>
                <w:rFonts w:asciiTheme="majorHAnsi" w:hAnsiTheme="majorHAnsi"/>
                <w:color w:val="auto"/>
                <w:sz w:val="22"/>
              </w:rPr>
            </w:pPr>
            <w:r w:rsidRPr="007D5908">
              <w:rPr>
                <w:rFonts w:asciiTheme="majorHAnsi" w:hAnsiTheme="majorHAnsi"/>
                <w:color w:val="auto"/>
                <w:sz w:val="22"/>
              </w:rPr>
              <w:lastRenderedPageBreak/>
              <w:t xml:space="preserve">Die Gemeinde </w:t>
            </w:r>
            <w:r w:rsidRPr="00746E17">
              <w:rPr>
                <w:rFonts w:asciiTheme="majorHAnsi" w:hAnsiTheme="majorHAnsi" w:cstheme="majorHAnsi"/>
                <w:color w:val="auto"/>
                <w:sz w:val="22"/>
                <w:szCs w:val="22"/>
              </w:rPr>
              <w:t>muss</w:t>
            </w:r>
            <w:r w:rsidRPr="009C7F34">
              <w:rPr>
                <w:rFonts w:asciiTheme="majorHAnsi" w:hAnsiTheme="majorHAnsi"/>
                <w:color w:val="auto"/>
                <w:sz w:val="22"/>
              </w:rPr>
              <w:t xml:space="preserve"> den Faktor</w:t>
            </w:r>
            <w:r w:rsidRPr="00746E17">
              <w:rPr>
                <w:rFonts w:asciiTheme="majorHAnsi" w:hAnsiTheme="majorHAnsi" w:cstheme="majorHAnsi"/>
                <w:color w:val="auto"/>
                <w:sz w:val="22"/>
                <w:szCs w:val="22"/>
              </w:rPr>
              <w:t xml:space="preserve"> festlegen</w:t>
            </w:r>
            <w:r w:rsidRPr="009C7F34">
              <w:rPr>
                <w:rFonts w:asciiTheme="majorHAnsi" w:hAnsiTheme="majorHAnsi"/>
                <w:color w:val="auto"/>
                <w:sz w:val="22"/>
              </w:rPr>
              <w:t xml:space="preserve">, mit welchem die Vermögensfreibeträge gemäss Sozialhilfegesetzgebung (§ 16 Abs. 2 </w:t>
            </w:r>
            <w:hyperlink r:id="rId10" w:history="1">
              <w:r w:rsidRPr="009C7F34">
                <w:rPr>
                  <w:rStyle w:val="Hyperlink"/>
                  <w:rFonts w:asciiTheme="majorHAnsi" w:hAnsiTheme="majorHAnsi"/>
                  <w:sz w:val="22"/>
                </w:rPr>
                <w:t>SHV</w:t>
              </w:r>
            </w:hyperlink>
            <w:r w:rsidRPr="009C7F34">
              <w:rPr>
                <w:rFonts w:asciiTheme="majorHAnsi" w:hAnsiTheme="majorHAnsi"/>
                <w:color w:val="auto"/>
                <w:sz w:val="22"/>
              </w:rPr>
              <w:t>) in die Berechnung der Vermögensgrenze einfliessen. Der minimale Faktor beträgt 5</w:t>
            </w:r>
            <w:r w:rsidRPr="00746E17">
              <w:rPr>
                <w:rFonts w:asciiTheme="majorHAnsi" w:hAnsiTheme="majorHAnsi" w:cstheme="majorHAnsi"/>
                <w:color w:val="auto"/>
                <w:sz w:val="22"/>
                <w:szCs w:val="22"/>
              </w:rPr>
              <w:t xml:space="preserve">, er kann aber auch 6, 7 oder mehr betragen. </w:t>
            </w:r>
          </w:p>
          <w:p w:rsidR="007029FA" w:rsidRPr="00746E17" w:rsidRDefault="00CD001B" w:rsidP="00DC3034">
            <w:pPr>
              <w:spacing w:before="60" w:after="60"/>
              <w:jc w:val="both"/>
              <w:rPr>
                <w:rFonts w:asciiTheme="majorHAnsi" w:hAnsiTheme="majorHAnsi" w:cstheme="majorHAnsi"/>
              </w:rPr>
            </w:pPr>
            <w:r w:rsidRPr="009C7F34">
              <w:rPr>
                <w:rFonts w:asciiTheme="majorHAnsi" w:hAnsiTheme="majorHAnsi"/>
              </w:rPr>
              <w:t>Je höher die Gemeinde den Faktor festsetzt, desto höher ist die Vermögensgrenze und desto mehr Personen haben potenziell Anspruch auf Mietzinsbeiträge. Eine höhere Vermögensgrenze wirkt präventiv. Personen mit geringem Einkommen müssen nicht ihre Reserven aufbrauchen und werden darin unterstützt, ihre Lebenssituation zu stabilisieren. Ein späterer Eintritt in die Sozialhilfe kann so gegebenenfalls frühzeitig verhindert werden.</w:t>
            </w:r>
          </w:p>
          <w:p w:rsidR="0031471C" w:rsidRPr="009C7F34" w:rsidRDefault="00CD001B" w:rsidP="00D61F38">
            <w:pPr>
              <w:spacing w:before="60" w:after="60"/>
              <w:jc w:val="both"/>
              <w:rPr>
                <w:rFonts w:asciiTheme="majorHAnsi" w:hAnsiTheme="majorHAnsi"/>
              </w:rPr>
            </w:pPr>
            <w:r w:rsidRPr="009C7F34">
              <w:rPr>
                <w:rFonts w:asciiTheme="majorHAnsi" w:hAnsiTheme="majorHAnsi"/>
              </w:rPr>
              <w:t xml:space="preserve">Auf die Ablösung von bestehenden Sozialhilfefällen hat die Vermögensgrenze keinen Einfluss. </w:t>
            </w:r>
          </w:p>
        </w:tc>
      </w:tr>
      <w:tr w:rsidR="00830F9B" w:rsidTr="007B4680">
        <w:tc>
          <w:tcPr>
            <w:tcW w:w="7143" w:type="dxa"/>
          </w:tcPr>
          <w:p w:rsidR="00E275DA" w:rsidRPr="00746E17" w:rsidRDefault="00CD001B" w:rsidP="00DC3034">
            <w:pPr>
              <w:spacing w:before="60" w:after="60"/>
              <w:jc w:val="both"/>
              <w:rPr>
                <w:rFonts w:asciiTheme="majorHAnsi" w:hAnsiTheme="majorHAnsi" w:cstheme="majorHAnsi"/>
                <w:b/>
                <w:bCs/>
              </w:rPr>
            </w:pPr>
            <w:r w:rsidRPr="00746E17">
              <w:rPr>
                <w:rFonts w:asciiTheme="majorHAnsi" w:hAnsiTheme="majorHAnsi" w:cstheme="majorHAnsi"/>
                <w:b/>
                <w:bCs/>
              </w:rPr>
              <w:lastRenderedPageBreak/>
              <w:t>Fakultativ</w:t>
            </w:r>
          </w:p>
          <w:p w:rsidR="00E275DA" w:rsidRPr="00746E17" w:rsidRDefault="00CD001B" w:rsidP="00DC3034">
            <w:pPr>
              <w:spacing w:before="60" w:after="60"/>
              <w:jc w:val="both"/>
              <w:rPr>
                <w:rFonts w:asciiTheme="majorHAnsi" w:hAnsiTheme="majorHAnsi" w:cstheme="majorHAnsi"/>
                <w:b/>
                <w:bCs/>
              </w:rPr>
            </w:pPr>
            <w:r w:rsidRPr="00746E17">
              <w:rPr>
                <w:rFonts w:asciiTheme="majorHAnsi" w:hAnsiTheme="majorHAnsi" w:cstheme="majorHAnsi"/>
                <w:bCs/>
                <w:vertAlign w:val="superscript"/>
              </w:rPr>
              <w:t>2 </w:t>
            </w:r>
            <w:r w:rsidR="00975A94" w:rsidRPr="00975A94">
              <w:rPr>
                <w:rFonts w:asciiTheme="majorHAnsi" w:hAnsiTheme="majorHAnsi" w:cstheme="majorHAnsi"/>
                <w:bCs/>
              </w:rPr>
              <w:t>Nicht zum Vermögen hinzugerechnet werden Motorfahrzeuge, wenn sie aus beruflichen oder gesundheitlichen Gründen benötigt werden.</w:t>
            </w:r>
          </w:p>
        </w:tc>
        <w:tc>
          <w:tcPr>
            <w:tcW w:w="7883" w:type="dxa"/>
          </w:tcPr>
          <w:p w:rsidR="00DE7495" w:rsidRDefault="00DE7495" w:rsidP="00DC3034">
            <w:pPr>
              <w:pStyle w:val="Default"/>
              <w:pageBreakBefore/>
              <w:spacing w:before="60" w:after="60"/>
              <w:rPr>
                <w:rFonts w:asciiTheme="majorHAnsi" w:hAnsiTheme="majorHAnsi" w:cstheme="majorHAnsi"/>
                <w:color w:val="auto"/>
                <w:sz w:val="22"/>
                <w:szCs w:val="22"/>
              </w:rPr>
            </w:pPr>
          </w:p>
          <w:p w:rsidR="003F096E" w:rsidRDefault="00CD001B" w:rsidP="00DC3034">
            <w:pPr>
              <w:pStyle w:val="Default"/>
              <w:pageBreakBefore/>
              <w:spacing w:before="60" w:after="60"/>
              <w:rPr>
                <w:rFonts w:asciiTheme="majorHAnsi" w:hAnsiTheme="majorHAnsi" w:cstheme="majorHAnsi"/>
                <w:color w:val="auto"/>
                <w:sz w:val="22"/>
                <w:szCs w:val="22"/>
              </w:rPr>
            </w:pPr>
            <w:r w:rsidRPr="00746E17">
              <w:rPr>
                <w:rFonts w:asciiTheme="majorHAnsi" w:hAnsiTheme="majorHAnsi" w:cstheme="majorHAnsi"/>
                <w:color w:val="auto"/>
                <w:sz w:val="22"/>
                <w:szCs w:val="22"/>
              </w:rPr>
              <w:t xml:space="preserve">Ein Fahrzeug ist ein Vermögenswert, weshalb es grundsätzlich miteinberechnet werden muss. Die </w:t>
            </w:r>
            <w:r w:rsidRPr="00983AAD">
              <w:rPr>
                <w:rFonts w:asciiTheme="majorHAnsi" w:hAnsiTheme="majorHAnsi" w:cstheme="majorHAnsi"/>
                <w:color w:val="auto"/>
                <w:sz w:val="22"/>
                <w:szCs w:val="22"/>
              </w:rPr>
              <w:t>Gemeinden können nur vorsehen, dass ein Fahrzeug nicht eingerechnet</w:t>
            </w:r>
            <w:r w:rsidR="00975A94">
              <w:rPr>
                <w:rFonts w:asciiTheme="majorHAnsi" w:hAnsiTheme="majorHAnsi" w:cstheme="majorHAnsi"/>
                <w:color w:val="auto"/>
                <w:sz w:val="22"/>
                <w:szCs w:val="22"/>
              </w:rPr>
              <w:t xml:space="preserve"> wird, wenn es aus beruflichen </w:t>
            </w:r>
            <w:r w:rsidRPr="00983AAD">
              <w:rPr>
                <w:rFonts w:asciiTheme="majorHAnsi" w:hAnsiTheme="majorHAnsi" w:cstheme="majorHAnsi"/>
                <w:color w:val="auto"/>
                <w:sz w:val="22"/>
                <w:szCs w:val="22"/>
              </w:rPr>
              <w:t xml:space="preserve">oder gesundheitlichen Gründen </w:t>
            </w:r>
            <w:r w:rsidR="00975A94">
              <w:rPr>
                <w:rFonts w:asciiTheme="majorHAnsi" w:hAnsiTheme="majorHAnsi" w:cstheme="majorHAnsi"/>
                <w:color w:val="auto"/>
                <w:sz w:val="22"/>
                <w:szCs w:val="22"/>
              </w:rPr>
              <w:t>benötigt wird</w:t>
            </w:r>
            <w:r w:rsidRPr="00983AAD">
              <w:rPr>
                <w:rFonts w:asciiTheme="majorHAnsi" w:hAnsiTheme="majorHAnsi" w:cstheme="majorHAnsi"/>
                <w:color w:val="auto"/>
                <w:sz w:val="22"/>
                <w:szCs w:val="22"/>
              </w:rPr>
              <w:t>.</w:t>
            </w:r>
            <w:r w:rsidR="003F096E" w:rsidRPr="00983AAD">
              <w:rPr>
                <w:rFonts w:asciiTheme="majorHAnsi" w:hAnsiTheme="majorHAnsi" w:cstheme="majorHAnsi"/>
                <w:color w:val="auto"/>
                <w:sz w:val="22"/>
                <w:szCs w:val="22"/>
              </w:rPr>
              <w:t xml:space="preserve"> Dabei muss die Gemeinde ein einheitliches Vorgehen sicherstellen.</w:t>
            </w:r>
            <w:r w:rsidR="008F7356" w:rsidRPr="00983AAD">
              <w:rPr>
                <w:rFonts w:asciiTheme="majorHAnsi" w:hAnsiTheme="majorHAnsi" w:cstheme="majorHAnsi"/>
                <w:color w:val="auto"/>
                <w:sz w:val="22"/>
                <w:szCs w:val="22"/>
              </w:rPr>
              <w:t xml:space="preserve"> Insbesondere muss sie</w:t>
            </w:r>
            <w:r w:rsidR="00975A94">
              <w:rPr>
                <w:rFonts w:asciiTheme="majorHAnsi" w:hAnsiTheme="majorHAnsi" w:cstheme="majorHAnsi"/>
                <w:color w:val="auto"/>
                <w:sz w:val="22"/>
                <w:szCs w:val="22"/>
              </w:rPr>
              <w:t xml:space="preserve"> festlegen, was als berufliche </w:t>
            </w:r>
            <w:r w:rsidR="008F7356" w:rsidRPr="00983AAD">
              <w:rPr>
                <w:rFonts w:asciiTheme="majorHAnsi" w:hAnsiTheme="majorHAnsi" w:cstheme="majorHAnsi"/>
                <w:color w:val="auto"/>
                <w:sz w:val="22"/>
                <w:szCs w:val="22"/>
              </w:rPr>
              <w:t>und gesundheitliche Gründe gilt.</w:t>
            </w:r>
          </w:p>
          <w:p w:rsidR="00E275DA" w:rsidRPr="00746E17" w:rsidRDefault="00CD001B" w:rsidP="00DD2A8E">
            <w:pPr>
              <w:pStyle w:val="Default"/>
              <w:pageBreakBefore/>
              <w:spacing w:before="60" w:after="60"/>
              <w:rPr>
                <w:rFonts w:asciiTheme="majorHAnsi" w:hAnsiTheme="majorHAnsi" w:cstheme="majorHAnsi"/>
                <w:color w:val="auto"/>
                <w:sz w:val="22"/>
                <w:szCs w:val="22"/>
              </w:rPr>
            </w:pPr>
            <w:r w:rsidRPr="00746E17">
              <w:rPr>
                <w:rFonts w:asciiTheme="majorHAnsi" w:hAnsiTheme="majorHAnsi" w:cstheme="majorHAnsi"/>
                <w:color w:val="auto"/>
                <w:sz w:val="22"/>
                <w:szCs w:val="22"/>
              </w:rPr>
              <w:t xml:space="preserve">Grundsätzlich </w:t>
            </w:r>
            <w:r w:rsidR="00DD2A8E">
              <w:rPr>
                <w:rFonts w:asciiTheme="majorHAnsi" w:hAnsiTheme="majorHAnsi" w:cstheme="majorHAnsi"/>
                <w:color w:val="auto"/>
                <w:sz w:val="22"/>
                <w:szCs w:val="22"/>
              </w:rPr>
              <w:t>können die Gemeinden dies</w:t>
            </w:r>
            <w:r w:rsidRPr="00746E17">
              <w:rPr>
                <w:rFonts w:asciiTheme="majorHAnsi" w:hAnsiTheme="majorHAnsi" w:cstheme="majorHAnsi"/>
                <w:color w:val="auto"/>
                <w:sz w:val="22"/>
                <w:szCs w:val="22"/>
              </w:rPr>
              <w:t xml:space="preserve"> auch über die Härtefallregelung lösen</w:t>
            </w:r>
            <w:r w:rsidR="00DD2A8E">
              <w:rPr>
                <w:rFonts w:asciiTheme="majorHAnsi" w:hAnsiTheme="majorHAnsi" w:cstheme="majorHAnsi"/>
                <w:color w:val="auto"/>
                <w:sz w:val="22"/>
                <w:szCs w:val="22"/>
              </w:rPr>
              <w:t>. A</w:t>
            </w:r>
            <w:r w:rsidRPr="00746E17">
              <w:rPr>
                <w:rFonts w:asciiTheme="majorHAnsi" w:hAnsiTheme="majorHAnsi" w:cstheme="majorHAnsi"/>
                <w:color w:val="auto"/>
                <w:sz w:val="22"/>
                <w:szCs w:val="22"/>
              </w:rPr>
              <w:t xml:space="preserve">ber mit einer separaten Bestimmung ist die Handhabung klar und die Gesuchstellenden müssen sich nicht dem Härtefallverfahren unterziehen, </w:t>
            </w:r>
            <w:r w:rsidR="003F096E">
              <w:rPr>
                <w:rFonts w:asciiTheme="majorHAnsi" w:hAnsiTheme="majorHAnsi" w:cstheme="majorHAnsi"/>
                <w:color w:val="auto"/>
                <w:sz w:val="22"/>
                <w:szCs w:val="22"/>
              </w:rPr>
              <w:t>welches</w:t>
            </w:r>
            <w:r w:rsidR="003F096E" w:rsidRPr="00746E17">
              <w:rPr>
                <w:rFonts w:asciiTheme="majorHAnsi" w:hAnsiTheme="majorHAnsi" w:cstheme="majorHAnsi"/>
                <w:color w:val="auto"/>
                <w:sz w:val="22"/>
                <w:szCs w:val="22"/>
              </w:rPr>
              <w:t xml:space="preserve"> </w:t>
            </w:r>
            <w:r w:rsidRPr="00746E17">
              <w:rPr>
                <w:rFonts w:asciiTheme="majorHAnsi" w:hAnsiTheme="majorHAnsi" w:cstheme="majorHAnsi"/>
                <w:color w:val="auto"/>
                <w:sz w:val="22"/>
                <w:szCs w:val="22"/>
              </w:rPr>
              <w:t xml:space="preserve">immer mit einem erheblichen Ermessensspielraum verbunden ist. </w:t>
            </w:r>
          </w:p>
        </w:tc>
      </w:tr>
      <w:tr w:rsidR="00830F9B" w:rsidTr="00186C6D">
        <w:tc>
          <w:tcPr>
            <w:tcW w:w="7143" w:type="dxa"/>
            <w:shd w:val="clear" w:color="auto" w:fill="F2F2F2" w:themeFill="background1" w:themeFillShade="F2"/>
          </w:tcPr>
          <w:p w:rsidR="0031471C" w:rsidRPr="00D61F38" w:rsidRDefault="00CD001B" w:rsidP="00D61F38">
            <w:pPr>
              <w:pStyle w:val="Listenabsatz"/>
              <w:numPr>
                <w:ilvl w:val="0"/>
                <w:numId w:val="25"/>
              </w:numPr>
              <w:spacing w:before="60" w:after="60"/>
              <w:ind w:left="357" w:hanging="357"/>
              <w:jc w:val="both"/>
              <w:rPr>
                <w:rFonts w:asciiTheme="majorHAnsi" w:hAnsiTheme="majorHAnsi"/>
                <w:b/>
                <w:sz w:val="28"/>
              </w:rPr>
            </w:pPr>
            <w:r w:rsidRPr="00D61F38">
              <w:rPr>
                <w:rFonts w:asciiTheme="majorHAnsi" w:hAnsiTheme="majorHAnsi"/>
                <w:b/>
                <w:sz w:val="28"/>
              </w:rPr>
              <w:t>Berechnungsgrundlagen</w:t>
            </w:r>
          </w:p>
        </w:tc>
        <w:tc>
          <w:tcPr>
            <w:tcW w:w="7883" w:type="dxa"/>
            <w:shd w:val="clear" w:color="auto" w:fill="F2F2F2" w:themeFill="background1" w:themeFillShade="F2"/>
          </w:tcPr>
          <w:p w:rsidR="0031471C" w:rsidRPr="00D61F38" w:rsidRDefault="0031471C" w:rsidP="00D61F38">
            <w:pPr>
              <w:pStyle w:val="Default"/>
              <w:spacing w:before="60" w:after="60"/>
              <w:rPr>
                <w:rFonts w:asciiTheme="majorHAnsi" w:hAnsiTheme="majorHAnsi"/>
                <w:i/>
                <w:sz w:val="22"/>
              </w:rPr>
            </w:pPr>
          </w:p>
        </w:tc>
      </w:tr>
      <w:tr w:rsidR="00830F9B" w:rsidTr="007B4680">
        <w:tc>
          <w:tcPr>
            <w:tcW w:w="7143" w:type="dxa"/>
          </w:tcPr>
          <w:p w:rsidR="008546D0" w:rsidRPr="00746E17" w:rsidRDefault="009C7F34" w:rsidP="00DC3034">
            <w:pPr>
              <w:spacing w:before="60" w:after="60"/>
              <w:jc w:val="both"/>
              <w:rPr>
                <w:rFonts w:asciiTheme="majorHAnsi" w:hAnsiTheme="majorHAnsi" w:cstheme="majorHAnsi"/>
                <w:b/>
              </w:rPr>
            </w:pPr>
            <w:r>
              <w:rPr>
                <w:rFonts w:asciiTheme="majorHAnsi" w:hAnsiTheme="majorHAnsi" w:cstheme="majorHAnsi"/>
                <w:b/>
              </w:rPr>
              <w:t>F</w:t>
            </w:r>
            <w:r w:rsidR="00CD001B" w:rsidRPr="00746E17">
              <w:rPr>
                <w:rFonts w:asciiTheme="majorHAnsi" w:hAnsiTheme="majorHAnsi" w:cstheme="majorHAnsi"/>
                <w:b/>
              </w:rPr>
              <w:t>akultativ</w:t>
            </w:r>
          </w:p>
          <w:p w:rsidR="0031471C" w:rsidRPr="009C7F34" w:rsidRDefault="00CD001B" w:rsidP="00D61F38">
            <w:pPr>
              <w:numPr>
                <w:ilvl w:val="0"/>
                <w:numId w:val="26"/>
              </w:numPr>
              <w:spacing w:before="60" w:after="60"/>
              <w:jc w:val="both"/>
              <w:rPr>
                <w:rFonts w:asciiTheme="majorHAnsi" w:hAnsiTheme="majorHAnsi"/>
                <w:b/>
              </w:rPr>
            </w:pPr>
            <w:r w:rsidRPr="009C7F34">
              <w:rPr>
                <w:rFonts w:asciiTheme="majorHAnsi" w:hAnsiTheme="majorHAnsi"/>
                <w:b/>
              </w:rPr>
              <w:t xml:space="preserve">Hypothetisches Einkommen </w:t>
            </w:r>
          </w:p>
          <w:p w:rsidR="0031471C" w:rsidRPr="009C7F34" w:rsidRDefault="00CD001B" w:rsidP="009C7F34">
            <w:pPr>
              <w:tabs>
                <w:tab w:val="left" w:pos="142"/>
              </w:tabs>
              <w:spacing w:before="60" w:after="60"/>
              <w:jc w:val="both"/>
              <w:rPr>
                <w:rFonts w:asciiTheme="majorHAnsi" w:hAnsiTheme="majorHAnsi"/>
              </w:rPr>
            </w:pPr>
            <w:r w:rsidRPr="00746E17">
              <w:rPr>
                <w:rFonts w:asciiTheme="majorHAnsi" w:hAnsiTheme="majorHAnsi" w:cstheme="majorHAnsi"/>
                <w:vertAlign w:val="superscript"/>
              </w:rPr>
              <w:t>1 </w:t>
            </w:r>
            <w:r w:rsidRPr="009C7F34">
              <w:rPr>
                <w:rFonts w:asciiTheme="majorHAnsi" w:hAnsiTheme="majorHAnsi"/>
              </w:rPr>
              <w:t xml:space="preserve">Falls zur Unterstützungseinheit gehörende Personen auf eine </w:t>
            </w:r>
            <w:r w:rsidRPr="00746E17">
              <w:rPr>
                <w:rFonts w:asciiTheme="majorHAnsi" w:hAnsiTheme="majorHAnsi" w:cstheme="majorHAnsi"/>
              </w:rPr>
              <w:t xml:space="preserve">zumutbare </w:t>
            </w:r>
            <w:r w:rsidRPr="009C7F34">
              <w:rPr>
                <w:rFonts w:asciiTheme="majorHAnsi" w:hAnsiTheme="majorHAnsi"/>
              </w:rPr>
              <w:t xml:space="preserve">Erhöhung des Arbeitspensums verzichten, </w:t>
            </w:r>
            <w:r w:rsidRPr="00746E17">
              <w:rPr>
                <w:rFonts w:asciiTheme="majorHAnsi" w:hAnsiTheme="majorHAnsi" w:cstheme="majorHAnsi"/>
              </w:rPr>
              <w:t>wird</w:t>
            </w:r>
            <w:r w:rsidRPr="009C7F34">
              <w:rPr>
                <w:rFonts w:asciiTheme="majorHAnsi" w:hAnsiTheme="majorHAnsi"/>
              </w:rPr>
              <w:t xml:space="preserve"> das fehlende Einkommen als hypothetisches Einkommen angerechnet.</w:t>
            </w:r>
          </w:p>
          <w:p w:rsidR="00242636" w:rsidRPr="00EF1251" w:rsidRDefault="008C778E" w:rsidP="009C7F34">
            <w:pPr>
              <w:spacing w:before="60" w:after="60"/>
              <w:jc w:val="both"/>
              <w:rPr>
                <w:rFonts w:asciiTheme="majorHAnsi" w:hAnsiTheme="majorHAnsi"/>
              </w:rPr>
            </w:pPr>
            <w:r>
              <w:rPr>
                <w:rFonts w:asciiTheme="majorHAnsi" w:hAnsiTheme="majorHAnsi" w:cstheme="majorHAnsi"/>
                <w:bCs/>
                <w:vertAlign w:val="superscript"/>
              </w:rPr>
              <w:t>2</w:t>
            </w:r>
            <w:r w:rsidR="00CD001B" w:rsidRPr="00746E17">
              <w:rPr>
                <w:rFonts w:asciiTheme="majorHAnsi" w:hAnsiTheme="majorHAnsi" w:cstheme="majorHAnsi"/>
                <w:bCs/>
                <w:vertAlign w:val="superscript"/>
              </w:rPr>
              <w:t> </w:t>
            </w:r>
            <w:r w:rsidR="00CD001B" w:rsidRPr="00746E17">
              <w:rPr>
                <w:rFonts w:asciiTheme="majorHAnsi" w:hAnsiTheme="majorHAnsi" w:cstheme="majorHAnsi"/>
                <w:bCs/>
              </w:rPr>
              <w:t xml:space="preserve">Der Gemeinderat legt die zumutbaren </w:t>
            </w:r>
            <w:proofErr w:type="spellStart"/>
            <w:r w:rsidR="00CD001B" w:rsidRPr="00746E17">
              <w:rPr>
                <w:rFonts w:asciiTheme="majorHAnsi" w:hAnsiTheme="majorHAnsi" w:cstheme="majorHAnsi"/>
                <w:bCs/>
              </w:rPr>
              <w:t>Arbeitspensen</w:t>
            </w:r>
            <w:proofErr w:type="spellEnd"/>
            <w:r w:rsidR="00CD001B" w:rsidRPr="00746E17">
              <w:rPr>
                <w:rFonts w:asciiTheme="majorHAnsi" w:hAnsiTheme="majorHAnsi" w:cstheme="majorHAnsi"/>
                <w:bCs/>
              </w:rPr>
              <w:t xml:space="preserve"> in der Verordnung fest. </w:t>
            </w:r>
          </w:p>
        </w:tc>
        <w:tc>
          <w:tcPr>
            <w:tcW w:w="7883" w:type="dxa"/>
          </w:tcPr>
          <w:p w:rsidR="00ED0881" w:rsidRPr="004D6852" w:rsidRDefault="00652AAB" w:rsidP="00DC3034">
            <w:pPr>
              <w:pStyle w:val="Default"/>
              <w:spacing w:before="60" w:after="60"/>
              <w:rPr>
                <w:rFonts w:asciiTheme="majorHAnsi" w:hAnsiTheme="majorHAnsi" w:cstheme="majorHAnsi"/>
                <w:sz w:val="22"/>
                <w:szCs w:val="22"/>
              </w:rPr>
            </w:pPr>
          </w:p>
          <w:p w:rsidR="00DE7495" w:rsidRDefault="00DE7495" w:rsidP="00D61F38">
            <w:pPr>
              <w:pStyle w:val="Default"/>
              <w:spacing w:before="60" w:after="60"/>
              <w:rPr>
                <w:rFonts w:asciiTheme="majorHAnsi" w:hAnsiTheme="majorHAnsi"/>
                <w:sz w:val="22"/>
              </w:rPr>
            </w:pPr>
          </w:p>
          <w:p w:rsidR="001A42E6" w:rsidRPr="004D6852" w:rsidRDefault="00CD001B" w:rsidP="00D61F38">
            <w:pPr>
              <w:pStyle w:val="Default"/>
              <w:spacing w:before="60" w:after="60"/>
              <w:rPr>
                <w:rFonts w:asciiTheme="majorHAnsi" w:hAnsiTheme="majorHAnsi"/>
                <w:sz w:val="22"/>
              </w:rPr>
            </w:pPr>
            <w:r w:rsidRPr="004D6852">
              <w:rPr>
                <w:rFonts w:asciiTheme="majorHAnsi" w:hAnsiTheme="majorHAnsi"/>
                <w:sz w:val="22"/>
              </w:rPr>
              <w:t xml:space="preserve">Die Gemeinden können festlegen, dass für die Berechnung der Mietzinsbeiträge ein hypothetisches Einkommen einbezogen wird. Unter einem hypothetischen Einkommen ist ein Einkommen zu verstehen, das eine antragstellende Person erzielen könnte, wenn sie ihre Erwerbsfähigkeit bzw. ihre verbleibende Erwerbsfähigkeit soweit zumutbar nützen würde. </w:t>
            </w:r>
          </w:p>
          <w:p w:rsidR="001A42E6" w:rsidRPr="004D6852" w:rsidRDefault="00CD001B" w:rsidP="00DC3034">
            <w:pPr>
              <w:pStyle w:val="Default"/>
              <w:spacing w:before="60" w:after="60"/>
              <w:rPr>
                <w:rFonts w:asciiTheme="majorHAnsi" w:hAnsiTheme="majorHAnsi"/>
                <w:sz w:val="22"/>
              </w:rPr>
            </w:pPr>
            <w:r w:rsidRPr="004D6852">
              <w:rPr>
                <w:rFonts w:asciiTheme="majorHAnsi" w:hAnsiTheme="majorHAnsi" w:cstheme="majorHAnsi"/>
                <w:sz w:val="22"/>
                <w:szCs w:val="22"/>
              </w:rPr>
              <w:lastRenderedPageBreak/>
              <w:t xml:space="preserve">Falls die Gemeinden </w:t>
            </w:r>
            <w:r w:rsidR="00D60B91" w:rsidRPr="004D6852">
              <w:rPr>
                <w:rFonts w:asciiTheme="majorHAnsi" w:hAnsiTheme="majorHAnsi" w:cstheme="majorHAnsi"/>
                <w:sz w:val="22"/>
                <w:szCs w:val="22"/>
              </w:rPr>
              <w:t>ein hypothetisches Einkommen in der Berechnung des massgeblichen Einkommens</w:t>
            </w:r>
            <w:r w:rsidR="008C778E" w:rsidRPr="004D6852">
              <w:rPr>
                <w:rFonts w:asciiTheme="majorHAnsi" w:hAnsiTheme="majorHAnsi" w:cstheme="majorHAnsi"/>
                <w:sz w:val="22"/>
                <w:szCs w:val="22"/>
              </w:rPr>
              <w:t xml:space="preserve"> </w:t>
            </w:r>
            <w:r w:rsidR="00D60B91" w:rsidRPr="004D6852">
              <w:rPr>
                <w:rFonts w:asciiTheme="majorHAnsi" w:hAnsiTheme="majorHAnsi" w:cstheme="majorHAnsi"/>
                <w:sz w:val="22"/>
                <w:szCs w:val="22"/>
              </w:rPr>
              <w:t>berücksichtigen möchte</w:t>
            </w:r>
            <w:r w:rsidRPr="004D6852">
              <w:rPr>
                <w:rFonts w:asciiTheme="majorHAnsi" w:hAnsiTheme="majorHAnsi" w:cstheme="majorHAnsi"/>
                <w:sz w:val="22"/>
                <w:szCs w:val="22"/>
              </w:rPr>
              <w:t xml:space="preserve">, </w:t>
            </w:r>
            <w:r w:rsidR="00D60B91" w:rsidRPr="004D6852">
              <w:rPr>
                <w:rFonts w:asciiTheme="majorHAnsi" w:hAnsiTheme="majorHAnsi" w:cstheme="majorHAnsi"/>
                <w:sz w:val="22"/>
                <w:szCs w:val="22"/>
              </w:rPr>
              <w:t xml:space="preserve">stützt </w:t>
            </w:r>
            <w:r w:rsidR="008C778E" w:rsidRPr="004D6852">
              <w:rPr>
                <w:rFonts w:asciiTheme="majorHAnsi" w:hAnsiTheme="majorHAnsi" w:cstheme="majorHAnsi"/>
                <w:sz w:val="22"/>
                <w:szCs w:val="22"/>
              </w:rPr>
              <w:t xml:space="preserve">sie </w:t>
            </w:r>
            <w:r w:rsidR="00D60B91" w:rsidRPr="004D6852">
              <w:rPr>
                <w:rFonts w:asciiTheme="majorHAnsi" w:hAnsiTheme="majorHAnsi" w:cstheme="majorHAnsi"/>
                <w:sz w:val="22"/>
                <w:szCs w:val="22"/>
              </w:rPr>
              <w:t>sich auf die</w:t>
            </w:r>
            <w:r w:rsidRPr="004D6852">
              <w:rPr>
                <w:rFonts w:asciiTheme="majorHAnsi" w:hAnsiTheme="majorHAnsi" w:cstheme="majorHAnsi"/>
                <w:sz w:val="22"/>
                <w:szCs w:val="22"/>
              </w:rPr>
              <w:t xml:space="preserve"> bundesgerichtlichen Regeln zur Erwerbstätigkeit (vgl.</w:t>
            </w:r>
            <w:r w:rsidRPr="004D6852">
              <w:rPr>
                <w:rFonts w:asciiTheme="majorHAnsi" w:hAnsiTheme="majorHAnsi"/>
                <w:sz w:val="22"/>
                <w:szCs w:val="22"/>
              </w:rPr>
              <w:t xml:space="preserve"> </w:t>
            </w:r>
            <w:hyperlink r:id="rId11" w:history="1">
              <w:r w:rsidRPr="004D6852">
                <w:rPr>
                  <w:rStyle w:val="Hyperlink"/>
                  <w:rFonts w:asciiTheme="majorHAnsi" w:hAnsiTheme="majorHAnsi"/>
                  <w:sz w:val="22"/>
                  <w:szCs w:val="22"/>
                </w:rPr>
                <w:t>Urteil zur Erwerbstätigkeit gemäss Schulstufenmodell des Bundesgerichts</w:t>
              </w:r>
            </w:hyperlink>
            <w:r w:rsidRPr="004D6852">
              <w:rPr>
                <w:rStyle w:val="Hyperlink"/>
                <w:rFonts w:asciiTheme="majorHAnsi" w:hAnsiTheme="majorHAnsi" w:cstheme="majorHAnsi"/>
                <w:color w:val="000000"/>
                <w:sz w:val="22"/>
                <w:szCs w:val="22"/>
              </w:rPr>
              <w:t>)</w:t>
            </w:r>
            <w:r w:rsidR="00D60B91" w:rsidRPr="004D6852">
              <w:rPr>
                <w:rStyle w:val="Hyperlink"/>
                <w:rFonts w:asciiTheme="majorHAnsi" w:hAnsiTheme="majorHAnsi" w:cstheme="majorHAnsi"/>
                <w:color w:val="000000"/>
                <w:sz w:val="22"/>
                <w:szCs w:val="22"/>
              </w:rPr>
              <w:t xml:space="preserve"> ab. </w:t>
            </w:r>
            <w:r w:rsidR="000C5469" w:rsidRPr="004D6852">
              <w:rPr>
                <w:rStyle w:val="Hyperlink"/>
                <w:rFonts w:asciiTheme="majorHAnsi" w:hAnsiTheme="majorHAnsi" w:cstheme="majorHAnsi"/>
                <w:color w:val="000000"/>
                <w:sz w:val="22"/>
                <w:szCs w:val="22"/>
                <w:u w:val="none"/>
              </w:rPr>
              <w:t xml:space="preserve">Zudem </w:t>
            </w:r>
            <w:r w:rsidR="008C778E" w:rsidRPr="004D6852">
              <w:rPr>
                <w:rStyle w:val="Hyperlink"/>
                <w:rFonts w:asciiTheme="majorHAnsi" w:hAnsiTheme="majorHAnsi" w:cstheme="majorHAnsi"/>
                <w:color w:val="000000"/>
                <w:sz w:val="22"/>
                <w:szCs w:val="22"/>
                <w:u w:val="none"/>
              </w:rPr>
              <w:t>sind</w:t>
            </w:r>
            <w:r w:rsidRPr="004D6852">
              <w:rPr>
                <w:rStyle w:val="Hyperlink"/>
                <w:rFonts w:asciiTheme="majorHAnsi" w:hAnsiTheme="majorHAnsi" w:cstheme="majorHAnsi"/>
                <w:color w:val="000000"/>
                <w:sz w:val="22"/>
                <w:szCs w:val="22"/>
                <w:u w:val="none"/>
              </w:rPr>
              <w:t xml:space="preserve"> die konkreten Umstände zu beachten.</w:t>
            </w:r>
            <w:r w:rsidRPr="004D6852">
              <w:rPr>
                <w:rStyle w:val="Hyperlink"/>
                <w:rFonts w:asciiTheme="majorHAnsi" w:hAnsiTheme="majorHAnsi"/>
                <w:color w:val="000000"/>
                <w:sz w:val="22"/>
                <w:szCs w:val="22"/>
                <w:u w:val="none"/>
              </w:rPr>
              <w:t xml:space="preserve"> </w:t>
            </w:r>
            <w:r w:rsidRPr="004D6852">
              <w:rPr>
                <w:rFonts w:asciiTheme="majorHAnsi" w:hAnsiTheme="majorHAnsi"/>
                <w:sz w:val="22"/>
                <w:szCs w:val="22"/>
              </w:rPr>
              <w:t>So sind verschiedene Konstellationen</w:t>
            </w:r>
            <w:r w:rsidRPr="004D6852">
              <w:rPr>
                <w:rFonts w:asciiTheme="majorHAnsi" w:hAnsiTheme="majorHAnsi"/>
                <w:sz w:val="22"/>
              </w:rPr>
              <w:t xml:space="preserve"> denkbar, die einen Verzicht auf eine Erhöhung des Arbeitspensums begründen. In solchen Fällen (z.B. Arztzeugnis, Erziehungs- und Betreuungsaufgaben, Dauer der unterrichtsfreien Zeit pro </w:t>
            </w:r>
            <w:proofErr w:type="spellStart"/>
            <w:r w:rsidRPr="004D6852">
              <w:rPr>
                <w:rFonts w:asciiTheme="majorHAnsi" w:hAnsiTheme="majorHAnsi"/>
                <w:sz w:val="22"/>
              </w:rPr>
              <w:t>Halbtag</w:t>
            </w:r>
            <w:proofErr w:type="spellEnd"/>
            <w:r w:rsidRPr="004D6852">
              <w:rPr>
                <w:rFonts w:asciiTheme="majorHAnsi" w:hAnsiTheme="majorHAnsi"/>
                <w:sz w:val="22"/>
              </w:rPr>
              <w:t xml:space="preserve">, Möglichkeit ausserschulischer Drittbetreuung, Distanz zum Arbeitsort, erhöhte Betreuungslast bei mehreren oder von einer Behinderung betroffenen Kindern) sollen Mietzinsbeiträge auch dann ausgerichtet werden, wenn die geforderten </w:t>
            </w:r>
            <w:proofErr w:type="spellStart"/>
            <w:r w:rsidRPr="004D6852">
              <w:rPr>
                <w:rFonts w:asciiTheme="majorHAnsi" w:hAnsiTheme="majorHAnsi"/>
                <w:sz w:val="22"/>
              </w:rPr>
              <w:t>Arbeitspensen</w:t>
            </w:r>
            <w:proofErr w:type="spellEnd"/>
            <w:r w:rsidRPr="004D6852">
              <w:rPr>
                <w:rFonts w:asciiTheme="majorHAnsi" w:hAnsiTheme="majorHAnsi"/>
                <w:sz w:val="22"/>
              </w:rPr>
              <w:t xml:space="preserve"> nicht oder in einem geringeren Mass erreicht werden.</w:t>
            </w:r>
          </w:p>
          <w:p w:rsidR="0046019D" w:rsidRPr="004D6852" w:rsidRDefault="008C778E" w:rsidP="00DC3034">
            <w:pPr>
              <w:pStyle w:val="Default"/>
              <w:spacing w:before="60" w:after="60"/>
              <w:rPr>
                <w:rFonts w:asciiTheme="majorHAnsi" w:hAnsiTheme="majorHAnsi"/>
                <w:sz w:val="22"/>
              </w:rPr>
            </w:pPr>
            <w:r w:rsidRPr="004D6852">
              <w:rPr>
                <w:rFonts w:asciiTheme="majorHAnsi" w:hAnsiTheme="majorHAnsi"/>
                <w:sz w:val="22"/>
              </w:rPr>
              <w:t xml:space="preserve">Die dahingehenden Details kann die Gemeinde </w:t>
            </w:r>
            <w:r w:rsidR="0046019D" w:rsidRPr="004D6852">
              <w:rPr>
                <w:rFonts w:asciiTheme="majorHAnsi" w:hAnsiTheme="majorHAnsi"/>
                <w:sz w:val="22"/>
              </w:rPr>
              <w:t>in der Verordnung</w:t>
            </w:r>
            <w:r w:rsidRPr="004D6852">
              <w:rPr>
                <w:rFonts w:asciiTheme="majorHAnsi" w:hAnsiTheme="majorHAnsi"/>
                <w:sz w:val="22"/>
              </w:rPr>
              <w:t xml:space="preserve"> (siehe </w:t>
            </w:r>
            <w:r w:rsidR="00E420E0" w:rsidRPr="004D6852">
              <w:rPr>
                <w:rFonts w:asciiTheme="majorHAnsi" w:hAnsiTheme="majorHAnsi"/>
                <w:sz w:val="22"/>
              </w:rPr>
              <w:t>Absatz</w:t>
            </w:r>
            <w:r w:rsidRPr="004D6852">
              <w:rPr>
                <w:rFonts w:asciiTheme="majorHAnsi" w:hAnsiTheme="majorHAnsi"/>
                <w:sz w:val="22"/>
              </w:rPr>
              <w:t xml:space="preserve"> 2), im Reglement oder auf anderem Weg regeln. </w:t>
            </w:r>
            <w:r w:rsidR="0046019D" w:rsidRPr="004D6852">
              <w:rPr>
                <w:rFonts w:asciiTheme="majorHAnsi" w:hAnsiTheme="majorHAnsi"/>
                <w:sz w:val="22"/>
              </w:rPr>
              <w:t xml:space="preserve">Auch wenn die Gemeinde auf eine explizite Regelung der </w:t>
            </w:r>
            <w:proofErr w:type="spellStart"/>
            <w:r w:rsidR="0046019D" w:rsidRPr="004D6852">
              <w:rPr>
                <w:rFonts w:asciiTheme="majorHAnsi" w:hAnsiTheme="majorHAnsi"/>
                <w:sz w:val="22"/>
              </w:rPr>
              <w:t>Pensen</w:t>
            </w:r>
            <w:proofErr w:type="spellEnd"/>
            <w:r w:rsidR="0046019D" w:rsidRPr="004D6852">
              <w:rPr>
                <w:rFonts w:asciiTheme="majorHAnsi" w:hAnsiTheme="majorHAnsi"/>
                <w:sz w:val="22"/>
              </w:rPr>
              <w:t xml:space="preserve"> verzichtet,</w:t>
            </w:r>
            <w:r w:rsidR="000C5469" w:rsidRPr="004D6852">
              <w:rPr>
                <w:rFonts w:asciiTheme="majorHAnsi" w:hAnsiTheme="majorHAnsi"/>
                <w:sz w:val="22"/>
              </w:rPr>
              <w:t xml:space="preserve"> ist die Praxis des Bundesgerichts anzuwenden</w:t>
            </w:r>
            <w:r w:rsidR="0046019D" w:rsidRPr="004D6852">
              <w:rPr>
                <w:rFonts w:asciiTheme="majorHAnsi" w:hAnsiTheme="majorHAnsi"/>
                <w:sz w:val="22"/>
              </w:rPr>
              <w:t>.</w:t>
            </w:r>
          </w:p>
          <w:p w:rsidR="00D60B91" w:rsidRPr="004D6852" w:rsidRDefault="008C778E" w:rsidP="00DC3034">
            <w:pPr>
              <w:pStyle w:val="Default"/>
              <w:spacing w:before="60" w:after="60"/>
              <w:rPr>
                <w:rFonts w:asciiTheme="majorHAnsi" w:hAnsiTheme="majorHAnsi"/>
                <w:sz w:val="22"/>
              </w:rPr>
            </w:pPr>
            <w:r w:rsidRPr="004D6852">
              <w:rPr>
                <w:rFonts w:asciiTheme="majorHAnsi" w:hAnsiTheme="majorHAnsi"/>
                <w:sz w:val="22"/>
              </w:rPr>
              <w:t>Beispiel für eine Regelung basierend auf dem erwähnten Bundesgerichtsurteil:</w:t>
            </w:r>
          </w:p>
          <w:p w:rsidR="00D60B91" w:rsidRPr="004D6852" w:rsidRDefault="00D60B91" w:rsidP="008C778E">
            <w:pPr>
              <w:tabs>
                <w:tab w:val="left" w:pos="142"/>
              </w:tabs>
              <w:spacing w:before="60" w:after="60"/>
              <w:ind w:left="262"/>
              <w:jc w:val="both"/>
              <w:rPr>
                <w:rFonts w:asciiTheme="majorHAnsi" w:hAnsiTheme="majorHAnsi" w:cstheme="majorHAnsi"/>
                <w:i/>
              </w:rPr>
            </w:pPr>
            <w:r w:rsidRPr="004D6852">
              <w:rPr>
                <w:rFonts w:asciiTheme="majorHAnsi" w:hAnsiTheme="majorHAnsi" w:cstheme="majorHAnsi"/>
                <w:i/>
              </w:rPr>
              <w:t>«</w:t>
            </w:r>
            <w:r w:rsidR="008C778E" w:rsidRPr="004D6852">
              <w:rPr>
                <w:rFonts w:asciiTheme="majorHAnsi" w:hAnsiTheme="majorHAnsi" w:cstheme="majorHAnsi"/>
                <w:i/>
                <w:vertAlign w:val="superscript"/>
              </w:rPr>
              <w:t>1 </w:t>
            </w:r>
            <w:r w:rsidRPr="004D6852">
              <w:rPr>
                <w:rFonts w:asciiTheme="majorHAnsi" w:hAnsiTheme="majorHAnsi" w:cstheme="majorHAnsi"/>
                <w:i/>
              </w:rPr>
              <w:t xml:space="preserve">Bei einer alleinigen Obhut gelten grundsätzlich folgende zumutbare </w:t>
            </w:r>
            <w:proofErr w:type="spellStart"/>
            <w:r w:rsidRPr="004D6852">
              <w:rPr>
                <w:rFonts w:asciiTheme="majorHAnsi" w:hAnsiTheme="majorHAnsi" w:cstheme="majorHAnsi"/>
                <w:i/>
              </w:rPr>
              <w:t>Arbeitspensen</w:t>
            </w:r>
            <w:proofErr w:type="spellEnd"/>
            <w:r w:rsidRPr="004D6852">
              <w:rPr>
                <w:rFonts w:asciiTheme="majorHAnsi" w:hAnsiTheme="majorHAnsi" w:cstheme="majorHAnsi"/>
                <w:i/>
              </w:rPr>
              <w:t>, jeweils in Bezug auf das jüngste Kind:</w:t>
            </w:r>
          </w:p>
          <w:p w:rsidR="00D60B91" w:rsidRPr="004D6852" w:rsidRDefault="00D60B91" w:rsidP="008C778E">
            <w:pPr>
              <w:pStyle w:val="Default"/>
              <w:spacing w:before="60" w:after="60"/>
              <w:ind w:left="262"/>
              <w:rPr>
                <w:rFonts w:asciiTheme="majorHAnsi" w:hAnsiTheme="majorHAnsi"/>
                <w:i/>
                <w:sz w:val="22"/>
              </w:rPr>
            </w:pPr>
            <w:r w:rsidRPr="004D6852">
              <w:rPr>
                <w:rFonts w:asciiTheme="majorHAnsi" w:hAnsiTheme="majorHAnsi"/>
                <w:i/>
                <w:sz w:val="22"/>
              </w:rPr>
              <w:t xml:space="preserve">Vor obligatorischer Einschulung: 0 % </w:t>
            </w:r>
          </w:p>
          <w:p w:rsidR="00D60B91" w:rsidRPr="004D6852" w:rsidRDefault="00D60B91" w:rsidP="008C778E">
            <w:pPr>
              <w:pStyle w:val="Default"/>
              <w:spacing w:before="60" w:after="60"/>
              <w:ind w:left="262"/>
              <w:rPr>
                <w:rFonts w:asciiTheme="majorHAnsi" w:hAnsiTheme="majorHAnsi"/>
                <w:i/>
                <w:sz w:val="22"/>
              </w:rPr>
            </w:pPr>
            <w:r w:rsidRPr="004D6852">
              <w:rPr>
                <w:rFonts w:asciiTheme="majorHAnsi" w:hAnsiTheme="majorHAnsi"/>
                <w:i/>
                <w:sz w:val="22"/>
              </w:rPr>
              <w:t xml:space="preserve">Ab obligatorischer Einschulung: 50 % </w:t>
            </w:r>
          </w:p>
          <w:p w:rsidR="00D60B91" w:rsidRPr="004D6852" w:rsidRDefault="00D60B91" w:rsidP="008C778E">
            <w:pPr>
              <w:pStyle w:val="Default"/>
              <w:spacing w:before="60" w:after="60"/>
              <w:ind w:left="262"/>
              <w:rPr>
                <w:rFonts w:asciiTheme="majorHAnsi" w:hAnsiTheme="majorHAnsi"/>
                <w:i/>
                <w:sz w:val="22"/>
              </w:rPr>
            </w:pPr>
            <w:r w:rsidRPr="004D6852">
              <w:rPr>
                <w:rFonts w:asciiTheme="majorHAnsi" w:hAnsiTheme="majorHAnsi"/>
                <w:i/>
                <w:sz w:val="22"/>
              </w:rPr>
              <w:t xml:space="preserve">Ab Eintritt in die Sekundarstufe: 80 % </w:t>
            </w:r>
          </w:p>
          <w:p w:rsidR="00D60B91" w:rsidRPr="004D6852" w:rsidRDefault="00D60B91" w:rsidP="008C778E">
            <w:pPr>
              <w:spacing w:before="60" w:after="60"/>
              <w:ind w:left="262"/>
              <w:jc w:val="both"/>
              <w:rPr>
                <w:rFonts w:asciiTheme="majorHAnsi" w:hAnsiTheme="majorHAnsi" w:cstheme="majorHAnsi"/>
                <w:i/>
              </w:rPr>
            </w:pPr>
            <w:r w:rsidRPr="004D6852">
              <w:rPr>
                <w:rFonts w:asciiTheme="majorHAnsi" w:hAnsiTheme="majorHAnsi"/>
                <w:i/>
              </w:rPr>
              <w:t>Ab Vollendung des 16. Lebensjahres: 100 %</w:t>
            </w:r>
          </w:p>
          <w:p w:rsidR="001A42E6" w:rsidRPr="004D6852" w:rsidRDefault="008C778E" w:rsidP="008F7356">
            <w:pPr>
              <w:ind w:left="262"/>
              <w:rPr>
                <w:rFonts w:asciiTheme="majorHAnsi" w:hAnsiTheme="majorHAnsi"/>
              </w:rPr>
            </w:pPr>
            <w:r w:rsidRPr="004D6852">
              <w:rPr>
                <w:rFonts w:asciiTheme="majorHAnsi" w:hAnsiTheme="majorHAnsi" w:cstheme="majorHAnsi"/>
                <w:i/>
                <w:vertAlign w:val="superscript"/>
              </w:rPr>
              <w:t>2 </w:t>
            </w:r>
            <w:r w:rsidR="00D60B91" w:rsidRPr="004D6852">
              <w:rPr>
                <w:rFonts w:asciiTheme="majorHAnsi" w:hAnsiTheme="majorHAnsi" w:cstheme="majorHAnsi"/>
                <w:bCs/>
                <w:i/>
              </w:rPr>
              <w:t>Bei der Berechnung des hypothetischen Einkommens ist den Lebensumständen der antragstellenden Person bzw. der Unterstütz</w:t>
            </w:r>
            <w:r w:rsidRPr="004D6852">
              <w:rPr>
                <w:rFonts w:asciiTheme="majorHAnsi" w:hAnsiTheme="majorHAnsi" w:cstheme="majorHAnsi"/>
                <w:bCs/>
                <w:i/>
              </w:rPr>
              <w:t>ungseinheit Rechnung zu tragen.</w:t>
            </w:r>
            <w:r w:rsidR="00D60B91" w:rsidRPr="004D6852">
              <w:rPr>
                <w:rFonts w:asciiTheme="majorHAnsi" w:hAnsiTheme="majorHAnsi" w:cstheme="majorHAnsi"/>
                <w:bCs/>
                <w:i/>
              </w:rPr>
              <w:t>»</w:t>
            </w:r>
          </w:p>
        </w:tc>
      </w:tr>
      <w:tr w:rsidR="00830F9B" w:rsidTr="007B4680">
        <w:tc>
          <w:tcPr>
            <w:tcW w:w="7143" w:type="dxa"/>
          </w:tcPr>
          <w:p w:rsidR="001A42E6" w:rsidRPr="009C7F34" w:rsidRDefault="00CD001B" w:rsidP="009C7F34">
            <w:pPr>
              <w:numPr>
                <w:ilvl w:val="0"/>
                <w:numId w:val="26"/>
              </w:numPr>
              <w:spacing w:before="60" w:after="60"/>
              <w:jc w:val="both"/>
              <w:rPr>
                <w:rFonts w:asciiTheme="majorHAnsi" w:hAnsiTheme="majorHAnsi"/>
              </w:rPr>
            </w:pPr>
            <w:bookmarkStart w:id="0" w:name="_Hlk52357438"/>
            <w:r w:rsidRPr="009C7F34">
              <w:rPr>
                <w:rFonts w:asciiTheme="majorHAnsi" w:hAnsiTheme="majorHAnsi"/>
                <w:b/>
              </w:rPr>
              <w:lastRenderedPageBreak/>
              <w:t xml:space="preserve">Allgemeiner Lebensbedarf als anerkannte Ausgabe </w:t>
            </w:r>
          </w:p>
          <w:p w:rsidR="0031471C" w:rsidRPr="00746E17" w:rsidRDefault="00407ACF" w:rsidP="00DC3034">
            <w:pPr>
              <w:spacing w:before="60" w:after="60"/>
              <w:jc w:val="both"/>
              <w:rPr>
                <w:rFonts w:asciiTheme="majorHAnsi" w:hAnsiTheme="majorHAnsi" w:cstheme="majorHAnsi"/>
              </w:rPr>
            </w:pPr>
            <w:r>
              <w:rPr>
                <w:rFonts w:asciiTheme="majorHAnsi" w:hAnsiTheme="majorHAnsi" w:cstheme="majorHAnsi"/>
                <w:bCs/>
                <w:vertAlign w:val="superscript"/>
              </w:rPr>
              <w:t>1</w:t>
            </w:r>
            <w:r w:rsidRPr="00746E17">
              <w:rPr>
                <w:rFonts w:asciiTheme="majorHAnsi" w:hAnsiTheme="majorHAnsi" w:cstheme="majorHAnsi"/>
                <w:bCs/>
                <w:vertAlign w:val="superscript"/>
              </w:rPr>
              <w:t> </w:t>
            </w:r>
            <w:r w:rsidR="00CD001B" w:rsidRPr="009C7F34">
              <w:rPr>
                <w:rFonts w:asciiTheme="majorHAnsi" w:hAnsiTheme="majorHAnsi"/>
              </w:rPr>
              <w:t xml:space="preserve">Der zur Berechnung der anerkannten Ausgaben verwendete allgemeine Lebensbedarf entspricht </w:t>
            </w:r>
            <w:r w:rsidR="00CD001B" w:rsidRPr="009C7F34">
              <w:rPr>
                <w:rFonts w:asciiTheme="majorHAnsi" w:hAnsiTheme="majorHAnsi"/>
                <w:highlight w:val="lightGray"/>
              </w:rPr>
              <w:t>100 %</w:t>
            </w:r>
            <w:r w:rsidR="00CD001B" w:rsidRPr="009C7F34">
              <w:rPr>
                <w:rFonts w:asciiTheme="majorHAnsi" w:hAnsiTheme="majorHAnsi"/>
              </w:rPr>
              <w:t xml:space="preserve"> des Grundbedarfs gemäss § 9 der Sozialhilfeverordnung</w:t>
            </w:r>
            <w:r w:rsidR="00CD001B">
              <w:rPr>
                <w:rStyle w:val="Funotenzeichen"/>
                <w:rFonts w:asciiTheme="majorHAnsi" w:hAnsiTheme="majorHAnsi" w:cstheme="majorHAnsi"/>
                <w:bCs/>
              </w:rPr>
              <w:footnoteReference w:id="9"/>
            </w:r>
            <w:r w:rsidR="00CD001B" w:rsidRPr="00746E17">
              <w:rPr>
                <w:rFonts w:asciiTheme="majorHAnsi" w:hAnsiTheme="majorHAnsi" w:cstheme="majorHAnsi"/>
              </w:rPr>
              <w:t>.</w:t>
            </w:r>
            <w:bookmarkEnd w:id="0"/>
          </w:p>
          <w:p w:rsidR="001A42E6" w:rsidRPr="00746E17" w:rsidRDefault="00CD001B" w:rsidP="00DC3034">
            <w:pPr>
              <w:spacing w:before="60" w:after="60"/>
              <w:jc w:val="both"/>
              <w:rPr>
                <w:rFonts w:asciiTheme="majorHAnsi" w:hAnsiTheme="majorHAnsi" w:cstheme="majorHAnsi"/>
              </w:rPr>
            </w:pPr>
            <w:r w:rsidRPr="00746E17">
              <w:rPr>
                <w:rFonts w:asciiTheme="majorHAnsi" w:hAnsiTheme="majorHAnsi" w:cstheme="majorHAnsi"/>
                <w:highlight w:val="lightGray"/>
              </w:rPr>
              <w:t>Oder</w:t>
            </w:r>
            <w:r w:rsidRPr="00746E17">
              <w:rPr>
                <w:rFonts w:asciiTheme="majorHAnsi" w:hAnsiTheme="majorHAnsi" w:cstheme="majorHAnsi"/>
              </w:rPr>
              <w:t xml:space="preserve"> </w:t>
            </w:r>
          </w:p>
          <w:p w:rsidR="001A42E6" w:rsidRPr="00746E17" w:rsidRDefault="00407ACF" w:rsidP="00DC3034">
            <w:pPr>
              <w:spacing w:before="60" w:after="60"/>
              <w:jc w:val="both"/>
              <w:rPr>
                <w:rFonts w:asciiTheme="majorHAnsi" w:hAnsiTheme="majorHAnsi" w:cstheme="majorHAnsi"/>
              </w:rPr>
            </w:pPr>
            <w:r>
              <w:rPr>
                <w:rFonts w:asciiTheme="majorHAnsi" w:hAnsiTheme="majorHAnsi" w:cstheme="majorHAnsi"/>
                <w:bCs/>
                <w:vertAlign w:val="superscript"/>
              </w:rPr>
              <w:lastRenderedPageBreak/>
              <w:t>1</w:t>
            </w:r>
            <w:r w:rsidRPr="00746E17">
              <w:rPr>
                <w:rFonts w:asciiTheme="majorHAnsi" w:hAnsiTheme="majorHAnsi" w:cstheme="majorHAnsi"/>
                <w:bCs/>
                <w:vertAlign w:val="superscript"/>
              </w:rPr>
              <w:t> </w:t>
            </w:r>
            <w:r w:rsidR="00CD001B" w:rsidRPr="00746E17">
              <w:rPr>
                <w:rFonts w:asciiTheme="majorHAnsi" w:hAnsiTheme="majorHAnsi" w:cstheme="majorHAnsi"/>
                <w:bCs/>
              </w:rPr>
              <w:t xml:space="preserve">Der zur Berechnung der anerkannten Ausgaben verwendete allgemeine Lebensbedarf entspricht </w:t>
            </w:r>
            <w:r w:rsidR="00CD001B" w:rsidRPr="00746E17">
              <w:rPr>
                <w:rFonts w:asciiTheme="majorHAnsi" w:hAnsiTheme="majorHAnsi" w:cstheme="majorHAnsi"/>
                <w:highlight w:val="lightGray"/>
              </w:rPr>
              <w:t>X %</w:t>
            </w:r>
            <w:r w:rsidR="00CD001B" w:rsidRPr="00746E17">
              <w:rPr>
                <w:rFonts w:asciiTheme="majorHAnsi" w:hAnsiTheme="majorHAnsi" w:cstheme="majorHAnsi"/>
              </w:rPr>
              <w:t xml:space="preserve"> des Grundbedarfs gemäss </w:t>
            </w:r>
            <w:r w:rsidR="00CD001B" w:rsidRPr="00746E17">
              <w:rPr>
                <w:rFonts w:asciiTheme="majorHAnsi" w:hAnsiTheme="majorHAnsi" w:cstheme="majorHAnsi"/>
                <w:bCs/>
              </w:rPr>
              <w:t>§ 9 der Sozialhilfeverordnung</w:t>
            </w:r>
            <w:r w:rsidR="00CD001B">
              <w:rPr>
                <w:rStyle w:val="Funotenzeichen"/>
                <w:rFonts w:asciiTheme="majorHAnsi" w:hAnsiTheme="majorHAnsi" w:cstheme="majorHAnsi"/>
                <w:bCs/>
              </w:rPr>
              <w:footnoteReference w:id="10"/>
            </w:r>
            <w:r w:rsidR="00CD001B" w:rsidRPr="00746E17">
              <w:rPr>
                <w:rFonts w:asciiTheme="majorHAnsi" w:hAnsiTheme="majorHAnsi" w:cstheme="majorHAnsi"/>
              </w:rPr>
              <w:t>.</w:t>
            </w:r>
          </w:p>
          <w:p w:rsidR="001A42E6" w:rsidRPr="009C7F34" w:rsidRDefault="00652AAB" w:rsidP="009C7F34">
            <w:pPr>
              <w:spacing w:before="60" w:after="60"/>
              <w:jc w:val="both"/>
              <w:rPr>
                <w:rFonts w:asciiTheme="majorHAnsi" w:hAnsiTheme="majorHAnsi"/>
              </w:rPr>
            </w:pPr>
          </w:p>
        </w:tc>
        <w:tc>
          <w:tcPr>
            <w:tcW w:w="7883" w:type="dxa"/>
          </w:tcPr>
          <w:p w:rsidR="001A42E6" w:rsidRPr="004D6852" w:rsidRDefault="00652AAB" w:rsidP="00DC3034">
            <w:pPr>
              <w:pStyle w:val="Default"/>
              <w:spacing w:before="60" w:after="60"/>
              <w:rPr>
                <w:rFonts w:asciiTheme="majorHAnsi" w:hAnsiTheme="majorHAnsi" w:cstheme="majorHAnsi"/>
                <w:sz w:val="22"/>
                <w:szCs w:val="22"/>
              </w:rPr>
            </w:pPr>
          </w:p>
          <w:p w:rsidR="001A42E6" w:rsidRPr="004D6852" w:rsidRDefault="00CD001B" w:rsidP="00DC3034">
            <w:pPr>
              <w:spacing w:before="60" w:after="60"/>
              <w:jc w:val="both"/>
              <w:rPr>
                <w:rFonts w:asciiTheme="majorHAnsi" w:hAnsiTheme="majorHAnsi" w:cstheme="majorHAnsi"/>
              </w:rPr>
            </w:pPr>
            <w:r w:rsidRPr="004D6852">
              <w:rPr>
                <w:rFonts w:asciiTheme="majorHAnsi" w:hAnsiTheme="majorHAnsi" w:cstheme="majorHAnsi"/>
              </w:rPr>
              <w:t xml:space="preserve">Konkretisierung der Bestimmungen in § 9 MBG </w:t>
            </w:r>
            <w:proofErr w:type="spellStart"/>
            <w:r w:rsidRPr="004D6852">
              <w:rPr>
                <w:rFonts w:asciiTheme="majorHAnsi" w:hAnsiTheme="majorHAnsi" w:cstheme="majorHAnsi"/>
              </w:rPr>
              <w:t>i.V.m</w:t>
            </w:r>
            <w:proofErr w:type="spellEnd"/>
            <w:r w:rsidRPr="004D6852">
              <w:rPr>
                <w:rFonts w:asciiTheme="majorHAnsi" w:hAnsiTheme="majorHAnsi" w:cstheme="majorHAnsi"/>
              </w:rPr>
              <w:t xml:space="preserve">. § 5 </w:t>
            </w:r>
            <w:proofErr w:type="spellStart"/>
            <w:r w:rsidRPr="004D6852">
              <w:rPr>
                <w:rFonts w:asciiTheme="majorHAnsi" w:hAnsiTheme="majorHAnsi" w:cstheme="majorHAnsi"/>
              </w:rPr>
              <w:t>Vo</w:t>
            </w:r>
            <w:proofErr w:type="spellEnd"/>
            <w:r w:rsidRPr="004D6852">
              <w:rPr>
                <w:rFonts w:asciiTheme="majorHAnsi" w:hAnsiTheme="majorHAnsi" w:cstheme="majorHAnsi"/>
              </w:rPr>
              <w:t xml:space="preserve"> MBG. </w:t>
            </w:r>
          </w:p>
          <w:p w:rsidR="001A42E6" w:rsidRPr="004D6852" w:rsidRDefault="00652AAB" w:rsidP="00DC3034">
            <w:pPr>
              <w:pStyle w:val="Default"/>
              <w:spacing w:before="60" w:after="60"/>
              <w:rPr>
                <w:rFonts w:asciiTheme="majorHAnsi" w:hAnsiTheme="majorHAnsi" w:cstheme="majorHAnsi"/>
                <w:sz w:val="22"/>
                <w:szCs w:val="22"/>
              </w:rPr>
            </w:pPr>
          </w:p>
          <w:p w:rsidR="0031471C" w:rsidRPr="004D6852" w:rsidRDefault="00CD001B" w:rsidP="009C7F34">
            <w:pPr>
              <w:pStyle w:val="Default"/>
              <w:spacing w:before="60" w:after="60"/>
              <w:rPr>
                <w:rFonts w:asciiTheme="majorHAnsi" w:hAnsiTheme="majorHAnsi"/>
                <w:sz w:val="22"/>
              </w:rPr>
            </w:pPr>
            <w:r w:rsidRPr="004D6852">
              <w:rPr>
                <w:rFonts w:asciiTheme="majorHAnsi" w:hAnsiTheme="majorHAnsi"/>
                <w:sz w:val="22"/>
              </w:rPr>
              <w:t xml:space="preserve">Die Gemeinde </w:t>
            </w:r>
            <w:r w:rsidRPr="004D6852">
              <w:rPr>
                <w:rFonts w:asciiTheme="majorHAnsi" w:hAnsiTheme="majorHAnsi" w:cstheme="majorHAnsi"/>
                <w:sz w:val="22"/>
                <w:szCs w:val="22"/>
              </w:rPr>
              <w:t>legt</w:t>
            </w:r>
            <w:r w:rsidRPr="004D6852">
              <w:rPr>
                <w:rFonts w:asciiTheme="majorHAnsi" w:hAnsiTheme="majorHAnsi"/>
                <w:sz w:val="22"/>
              </w:rPr>
              <w:t xml:space="preserve"> den Faktor</w:t>
            </w:r>
            <w:r w:rsidRPr="004D6852">
              <w:rPr>
                <w:rFonts w:asciiTheme="majorHAnsi" w:hAnsiTheme="majorHAnsi" w:cstheme="majorHAnsi"/>
                <w:sz w:val="22"/>
                <w:szCs w:val="22"/>
              </w:rPr>
              <w:t xml:space="preserve"> fest</w:t>
            </w:r>
            <w:r w:rsidRPr="004D6852">
              <w:rPr>
                <w:rFonts w:asciiTheme="majorHAnsi" w:hAnsiTheme="majorHAnsi"/>
                <w:sz w:val="22"/>
              </w:rPr>
              <w:t>, mit welchem der Grundbedarf gemäss Sozialhilfegesetzgebung (</w:t>
            </w:r>
            <w:r w:rsidRPr="004D6852">
              <w:rPr>
                <w:rFonts w:asciiTheme="majorHAnsi" w:hAnsiTheme="majorHAnsi"/>
                <w:color w:val="auto"/>
                <w:sz w:val="22"/>
              </w:rPr>
              <w:t xml:space="preserve">§ 9 Abs. 2 </w:t>
            </w:r>
            <w:hyperlink r:id="rId12" w:history="1">
              <w:r w:rsidRPr="004D6852">
                <w:rPr>
                  <w:rStyle w:val="Hyperlink"/>
                  <w:rFonts w:asciiTheme="majorHAnsi" w:hAnsiTheme="majorHAnsi"/>
                  <w:sz w:val="22"/>
                </w:rPr>
                <w:t>SHV</w:t>
              </w:r>
            </w:hyperlink>
            <w:r w:rsidRPr="004D6852">
              <w:rPr>
                <w:rFonts w:asciiTheme="majorHAnsi" w:hAnsiTheme="majorHAnsi"/>
                <w:sz w:val="22"/>
              </w:rPr>
              <w:t>) als allgemeiner Lebensbedarf in die Berechnung der anerkannten Ausgaben einfliesst. Der Faktor entspricht mindestens 100</w:t>
            </w:r>
            <w:r w:rsidRPr="004D6852">
              <w:rPr>
                <w:rFonts w:asciiTheme="majorHAnsi" w:hAnsiTheme="majorHAnsi" w:cstheme="majorHAnsi"/>
                <w:sz w:val="22"/>
                <w:szCs w:val="22"/>
              </w:rPr>
              <w:t xml:space="preserve">%, kann aber auch 110%, 115 % etc. betragen. </w:t>
            </w:r>
          </w:p>
          <w:p w:rsidR="0031471C" w:rsidRPr="004D6852" w:rsidRDefault="00CD001B" w:rsidP="009C7F34">
            <w:pPr>
              <w:pStyle w:val="Default"/>
              <w:spacing w:before="60" w:after="60"/>
              <w:rPr>
                <w:rFonts w:asciiTheme="majorHAnsi" w:hAnsiTheme="majorHAnsi"/>
                <w:sz w:val="22"/>
              </w:rPr>
            </w:pPr>
            <w:r w:rsidRPr="004D6852">
              <w:rPr>
                <w:rFonts w:asciiTheme="majorHAnsi" w:hAnsiTheme="majorHAnsi"/>
                <w:sz w:val="22"/>
              </w:rPr>
              <w:lastRenderedPageBreak/>
              <w:t xml:space="preserve">Je höher </w:t>
            </w:r>
            <w:r w:rsidRPr="004D6852">
              <w:rPr>
                <w:rFonts w:asciiTheme="majorHAnsi" w:hAnsiTheme="majorHAnsi" w:cstheme="majorHAnsi"/>
                <w:sz w:val="22"/>
                <w:szCs w:val="22"/>
              </w:rPr>
              <w:t xml:space="preserve">der </w:t>
            </w:r>
            <w:r w:rsidRPr="004D6852">
              <w:rPr>
                <w:rFonts w:asciiTheme="majorHAnsi" w:hAnsiTheme="majorHAnsi"/>
                <w:sz w:val="22"/>
              </w:rPr>
              <w:t xml:space="preserve">Faktor </w:t>
            </w:r>
            <w:r w:rsidRPr="004D6852">
              <w:rPr>
                <w:rFonts w:asciiTheme="majorHAnsi" w:hAnsiTheme="majorHAnsi" w:cstheme="majorHAnsi"/>
                <w:sz w:val="22"/>
                <w:szCs w:val="22"/>
              </w:rPr>
              <w:t>ist</w:t>
            </w:r>
            <w:r w:rsidRPr="004D6852">
              <w:rPr>
                <w:rFonts w:asciiTheme="majorHAnsi" w:hAnsiTheme="majorHAnsi"/>
                <w:sz w:val="22"/>
              </w:rPr>
              <w:t>, desto stärker fallen die Ausgaben bei der Berechnung des tragbaren Masses der Mietzinsbelastung</w:t>
            </w:r>
            <w:r w:rsidRPr="004D6852">
              <w:rPr>
                <w:rFonts w:asciiTheme="majorHAnsi" w:hAnsiTheme="majorHAnsi" w:cstheme="majorHAnsi"/>
                <w:sz w:val="22"/>
                <w:szCs w:val="22"/>
              </w:rPr>
              <w:t xml:space="preserve"> ins Gewicht</w:t>
            </w:r>
            <w:r w:rsidRPr="004D6852">
              <w:rPr>
                <w:rFonts w:asciiTheme="majorHAnsi" w:hAnsiTheme="majorHAnsi"/>
                <w:sz w:val="22"/>
              </w:rPr>
              <w:t xml:space="preserve">. Die Mietzinsbeiträge fallen entsprechend höher aus. </w:t>
            </w:r>
            <w:proofErr w:type="gramStart"/>
            <w:r w:rsidRPr="004D6852">
              <w:rPr>
                <w:rFonts w:asciiTheme="majorHAnsi" w:hAnsiTheme="majorHAnsi"/>
                <w:sz w:val="22"/>
              </w:rPr>
              <w:t>Den</w:t>
            </w:r>
            <w:proofErr w:type="gramEnd"/>
            <w:r w:rsidRPr="004D6852">
              <w:rPr>
                <w:rFonts w:asciiTheme="majorHAnsi" w:hAnsiTheme="majorHAnsi"/>
                <w:sz w:val="22"/>
              </w:rPr>
              <w:t xml:space="preserve"> damit verbundenen Mehrkosten stehen Substitutionseffekte bezüglich der Sozialhilfe gegenüber (</w:t>
            </w:r>
            <w:r w:rsidRPr="004D6852">
              <w:rPr>
                <w:rFonts w:asciiTheme="majorHAnsi" w:hAnsiTheme="majorHAnsi" w:cstheme="majorHAnsi"/>
                <w:sz w:val="22"/>
                <w:szCs w:val="22"/>
              </w:rPr>
              <w:t xml:space="preserve">vgl. dazu die Ausführungen unter § 2). </w:t>
            </w:r>
          </w:p>
        </w:tc>
      </w:tr>
      <w:tr w:rsidR="00830F9B" w:rsidTr="00186C6D">
        <w:tc>
          <w:tcPr>
            <w:tcW w:w="7143" w:type="dxa"/>
            <w:shd w:val="clear" w:color="auto" w:fill="F2F2F2" w:themeFill="background1" w:themeFillShade="F2"/>
          </w:tcPr>
          <w:p w:rsidR="0031471C" w:rsidRPr="00EF1251" w:rsidRDefault="00CD001B" w:rsidP="00EF1251">
            <w:pPr>
              <w:pStyle w:val="Listenabsatz"/>
              <w:numPr>
                <w:ilvl w:val="0"/>
                <w:numId w:val="25"/>
              </w:numPr>
              <w:spacing w:before="60" w:after="60"/>
              <w:ind w:left="357" w:hanging="357"/>
              <w:jc w:val="both"/>
              <w:rPr>
                <w:rFonts w:asciiTheme="majorHAnsi" w:hAnsiTheme="majorHAnsi"/>
                <w:b/>
                <w:sz w:val="28"/>
              </w:rPr>
            </w:pPr>
            <w:r w:rsidRPr="00EF1251">
              <w:rPr>
                <w:rFonts w:asciiTheme="majorHAnsi" w:hAnsiTheme="majorHAnsi"/>
                <w:b/>
                <w:sz w:val="28"/>
              </w:rPr>
              <w:lastRenderedPageBreak/>
              <w:t>Vollzugsbestimmungen</w:t>
            </w:r>
          </w:p>
        </w:tc>
        <w:tc>
          <w:tcPr>
            <w:tcW w:w="7883" w:type="dxa"/>
            <w:shd w:val="clear" w:color="auto" w:fill="F2F2F2" w:themeFill="background1" w:themeFillShade="F2"/>
          </w:tcPr>
          <w:p w:rsidR="0031471C" w:rsidRPr="00EF1251" w:rsidRDefault="0031471C" w:rsidP="00EF1251">
            <w:pPr>
              <w:pStyle w:val="Default"/>
              <w:spacing w:before="60" w:after="60"/>
              <w:rPr>
                <w:rFonts w:asciiTheme="majorHAnsi" w:hAnsiTheme="majorHAnsi"/>
                <w:i/>
                <w:sz w:val="22"/>
              </w:rPr>
            </w:pPr>
          </w:p>
        </w:tc>
      </w:tr>
      <w:tr w:rsidR="00830F9B" w:rsidTr="007B4680">
        <w:tc>
          <w:tcPr>
            <w:tcW w:w="7143" w:type="dxa"/>
          </w:tcPr>
          <w:p w:rsidR="0031471C" w:rsidRPr="009C7F34" w:rsidRDefault="00CD001B" w:rsidP="009C7F34">
            <w:pPr>
              <w:numPr>
                <w:ilvl w:val="0"/>
                <w:numId w:val="26"/>
              </w:numPr>
              <w:spacing w:before="60" w:after="60"/>
              <w:jc w:val="both"/>
              <w:rPr>
                <w:rFonts w:asciiTheme="majorHAnsi" w:hAnsiTheme="majorHAnsi"/>
                <w:b/>
              </w:rPr>
            </w:pPr>
            <w:r w:rsidRPr="009C7F34">
              <w:rPr>
                <w:rFonts w:asciiTheme="majorHAnsi" w:hAnsiTheme="majorHAnsi"/>
                <w:b/>
              </w:rPr>
              <w:t xml:space="preserve">Zuständigkeit </w:t>
            </w:r>
          </w:p>
          <w:p w:rsidR="0031471C" w:rsidRPr="009C7F34" w:rsidRDefault="00CD001B" w:rsidP="009C7F34">
            <w:pPr>
              <w:tabs>
                <w:tab w:val="left" w:pos="142"/>
              </w:tabs>
              <w:spacing w:before="60" w:after="60"/>
              <w:jc w:val="both"/>
              <w:rPr>
                <w:rFonts w:asciiTheme="majorHAnsi" w:hAnsiTheme="majorHAnsi"/>
              </w:rPr>
            </w:pPr>
            <w:r w:rsidRPr="00746E17">
              <w:rPr>
                <w:rFonts w:asciiTheme="majorHAnsi" w:hAnsiTheme="majorHAnsi" w:cstheme="majorHAnsi"/>
                <w:vertAlign w:val="superscript"/>
              </w:rPr>
              <w:t>1 </w:t>
            </w:r>
            <w:r w:rsidRPr="009C7F34">
              <w:rPr>
                <w:rFonts w:asciiTheme="majorHAnsi" w:hAnsiTheme="majorHAnsi"/>
              </w:rPr>
              <w:t xml:space="preserve">Der Gemeinderat delegiert den Erlass der Mietzinsbeitragsverfügungen zu diesem Reglement an </w:t>
            </w:r>
            <w:r w:rsidRPr="00B5571A">
              <w:rPr>
                <w:rFonts w:asciiTheme="majorHAnsi" w:hAnsiTheme="majorHAnsi"/>
              </w:rPr>
              <w:t>die Gemeindeverwaltung</w:t>
            </w:r>
            <w:r w:rsidRPr="00B5571A">
              <w:rPr>
                <w:rFonts w:asciiTheme="majorHAnsi" w:hAnsiTheme="majorHAnsi" w:cstheme="majorHAnsi"/>
              </w:rPr>
              <w:t xml:space="preserve"> oder an eine zusammen</w:t>
            </w:r>
            <w:r w:rsidRPr="00B5571A">
              <w:rPr>
                <w:rFonts w:asciiTheme="majorHAnsi" w:hAnsiTheme="majorHAnsi"/>
              </w:rPr>
              <w:t xml:space="preserve"> mit anderen Gemeinden </w:t>
            </w:r>
            <w:r w:rsidRPr="00B5571A">
              <w:rPr>
                <w:rFonts w:asciiTheme="majorHAnsi" w:hAnsiTheme="majorHAnsi" w:cstheme="majorHAnsi"/>
              </w:rPr>
              <w:t>betriebene</w:t>
            </w:r>
            <w:r w:rsidRPr="00B5571A">
              <w:rPr>
                <w:rFonts w:asciiTheme="majorHAnsi" w:hAnsiTheme="majorHAnsi"/>
              </w:rPr>
              <w:t xml:space="preserve"> Stelle.</w:t>
            </w:r>
          </w:p>
        </w:tc>
        <w:tc>
          <w:tcPr>
            <w:tcW w:w="7883" w:type="dxa"/>
          </w:tcPr>
          <w:p w:rsidR="00746E17" w:rsidRDefault="00652AAB" w:rsidP="00DC3034">
            <w:pPr>
              <w:pStyle w:val="Default"/>
              <w:spacing w:before="60" w:after="60"/>
              <w:rPr>
                <w:rFonts w:asciiTheme="majorHAnsi" w:hAnsiTheme="majorHAnsi" w:cstheme="majorHAnsi"/>
                <w:sz w:val="22"/>
                <w:szCs w:val="22"/>
              </w:rPr>
            </w:pPr>
          </w:p>
          <w:p w:rsidR="00E65B2C" w:rsidRPr="00746E17" w:rsidRDefault="00CD001B" w:rsidP="00DC3034">
            <w:pPr>
              <w:pStyle w:val="Default"/>
              <w:spacing w:before="60" w:after="60"/>
              <w:rPr>
                <w:rFonts w:asciiTheme="majorHAnsi" w:hAnsiTheme="majorHAnsi" w:cstheme="majorHAnsi"/>
                <w:sz w:val="22"/>
                <w:szCs w:val="22"/>
              </w:rPr>
            </w:pPr>
            <w:r w:rsidRPr="00746E17">
              <w:rPr>
                <w:rFonts w:asciiTheme="majorHAnsi" w:hAnsiTheme="majorHAnsi" w:cstheme="majorHAnsi"/>
                <w:sz w:val="22"/>
                <w:szCs w:val="22"/>
              </w:rPr>
              <w:t xml:space="preserve">Konkretisierung von § 10 MBG. </w:t>
            </w:r>
          </w:p>
          <w:p w:rsidR="0031471C" w:rsidRPr="009C7F34" w:rsidRDefault="00CD001B" w:rsidP="00EF1251">
            <w:pPr>
              <w:pStyle w:val="Default"/>
              <w:spacing w:before="60" w:after="60"/>
              <w:rPr>
                <w:rFonts w:asciiTheme="majorHAnsi" w:hAnsiTheme="majorHAnsi"/>
                <w:sz w:val="22"/>
              </w:rPr>
            </w:pPr>
            <w:r w:rsidRPr="009C7F34">
              <w:rPr>
                <w:rFonts w:asciiTheme="majorHAnsi" w:hAnsiTheme="majorHAnsi"/>
                <w:sz w:val="22"/>
              </w:rPr>
              <w:t>Die Gemeinde definiert, welche Stelle für den Erlass von Verfügungen über Mietzinsbeiträge in der Gemeinde zuständig ist und hält dies entsprechend im Reglement fest. Dabei kann sie eine eigene Stelle vorsehen oder sich mit anderen Gemeinden auf eine interkommunale Stelle einigen. Siehe auch § 8 Abs. 1 und § 9 Abs. 1.</w:t>
            </w:r>
          </w:p>
        </w:tc>
      </w:tr>
      <w:tr w:rsidR="00830F9B" w:rsidTr="007B4680">
        <w:tc>
          <w:tcPr>
            <w:tcW w:w="7143" w:type="dxa"/>
          </w:tcPr>
          <w:p w:rsidR="0031471C" w:rsidRPr="009C7F34" w:rsidRDefault="00CD001B" w:rsidP="009C7F34">
            <w:pPr>
              <w:tabs>
                <w:tab w:val="left" w:pos="142"/>
              </w:tabs>
              <w:spacing w:before="60" w:after="60"/>
              <w:jc w:val="both"/>
              <w:rPr>
                <w:rFonts w:asciiTheme="majorHAnsi" w:hAnsiTheme="majorHAnsi"/>
              </w:rPr>
            </w:pPr>
            <w:r w:rsidRPr="00746E17">
              <w:rPr>
                <w:rFonts w:asciiTheme="majorHAnsi" w:hAnsiTheme="majorHAnsi" w:cstheme="majorHAnsi"/>
                <w:vertAlign w:val="superscript"/>
              </w:rPr>
              <w:t>2 </w:t>
            </w:r>
            <w:r w:rsidRPr="009C7F34">
              <w:rPr>
                <w:rFonts w:asciiTheme="majorHAnsi" w:hAnsiTheme="majorHAnsi"/>
              </w:rPr>
              <w:t>Die Gemeinde informiert die Einwohnerinnen und Einwohner in geeigneter Form über die Anspruchsvoraussetzungen und das Vorgehen zur Antragstellung zum Bezug von Mietzinsbeiträgen.</w:t>
            </w:r>
          </w:p>
        </w:tc>
        <w:tc>
          <w:tcPr>
            <w:tcW w:w="7883" w:type="dxa"/>
          </w:tcPr>
          <w:p w:rsidR="0031471C" w:rsidRPr="00DE7495" w:rsidRDefault="00CD001B" w:rsidP="009C7F34">
            <w:pPr>
              <w:pStyle w:val="Default"/>
              <w:pageBreakBefore/>
              <w:spacing w:before="60" w:after="60"/>
              <w:rPr>
                <w:rFonts w:asciiTheme="majorHAnsi" w:hAnsiTheme="majorHAnsi"/>
                <w:i/>
                <w:sz w:val="22"/>
                <w:szCs w:val="22"/>
              </w:rPr>
            </w:pPr>
            <w:r w:rsidRPr="00E4662E">
              <w:rPr>
                <w:rFonts w:asciiTheme="majorHAnsi" w:hAnsiTheme="majorHAnsi"/>
                <w:sz w:val="22"/>
                <w:szCs w:val="22"/>
              </w:rPr>
              <w:t xml:space="preserve">Die Gemeinde </w:t>
            </w:r>
            <w:r w:rsidRPr="00DE7495">
              <w:rPr>
                <w:rFonts w:asciiTheme="majorHAnsi" w:hAnsiTheme="majorHAnsi" w:cstheme="majorHAnsi"/>
                <w:color w:val="auto"/>
                <w:sz w:val="22"/>
                <w:szCs w:val="22"/>
              </w:rPr>
              <w:t>muss</w:t>
            </w:r>
            <w:r w:rsidRPr="00E4662E">
              <w:rPr>
                <w:rFonts w:asciiTheme="majorHAnsi" w:hAnsiTheme="majorHAnsi"/>
                <w:sz w:val="22"/>
                <w:szCs w:val="22"/>
              </w:rPr>
              <w:t xml:space="preserve"> die Einwohnerinnen und Einwohner über die Anspruchsvoraussetzungen und das Vorgehen zur Antragstellung </w:t>
            </w:r>
            <w:r w:rsidRPr="00DE7495">
              <w:rPr>
                <w:rFonts w:asciiTheme="majorHAnsi" w:hAnsiTheme="majorHAnsi" w:cstheme="majorHAnsi"/>
                <w:color w:val="auto"/>
                <w:sz w:val="22"/>
                <w:szCs w:val="22"/>
              </w:rPr>
              <w:t>informieren</w:t>
            </w:r>
            <w:r w:rsidRPr="00E4662E">
              <w:rPr>
                <w:rFonts w:asciiTheme="majorHAnsi" w:hAnsiTheme="majorHAnsi"/>
                <w:sz w:val="22"/>
                <w:szCs w:val="22"/>
              </w:rPr>
              <w:t>. Dies kann beispielsweise über ein Merkblatt sowie die nötigen Antragsformulare und einen Eintrag auf der Gemeinde-Webseite erfolgen. Eine Konkretisierung diesbezüglich im Reglement ist nicht nötig.</w:t>
            </w:r>
          </w:p>
        </w:tc>
      </w:tr>
      <w:tr w:rsidR="00830F9B" w:rsidTr="007B4680">
        <w:tc>
          <w:tcPr>
            <w:tcW w:w="7143" w:type="dxa"/>
          </w:tcPr>
          <w:p w:rsidR="001B48DA" w:rsidRPr="00746E17" w:rsidRDefault="00CD001B" w:rsidP="00DC3034">
            <w:pPr>
              <w:spacing w:before="60" w:after="60"/>
              <w:jc w:val="both"/>
              <w:rPr>
                <w:rFonts w:asciiTheme="majorHAnsi" w:hAnsiTheme="majorHAnsi" w:cstheme="majorHAnsi"/>
                <w:bCs/>
              </w:rPr>
            </w:pPr>
            <w:r w:rsidRPr="00746E17">
              <w:rPr>
                <w:rFonts w:asciiTheme="majorHAnsi" w:hAnsiTheme="majorHAnsi" w:cstheme="majorHAnsi"/>
                <w:b/>
                <w:bCs/>
              </w:rPr>
              <w:t>Fakultativ</w:t>
            </w:r>
          </w:p>
          <w:p w:rsidR="001B48DA" w:rsidRPr="00746E17" w:rsidRDefault="00CD001B" w:rsidP="00DC3034">
            <w:pPr>
              <w:spacing w:before="60" w:after="60"/>
              <w:jc w:val="both"/>
              <w:rPr>
                <w:rFonts w:asciiTheme="majorHAnsi" w:hAnsiTheme="majorHAnsi" w:cstheme="majorHAnsi"/>
                <w:bCs/>
              </w:rPr>
            </w:pPr>
            <w:r w:rsidRPr="00746E17">
              <w:rPr>
                <w:rFonts w:asciiTheme="majorHAnsi" w:hAnsiTheme="majorHAnsi" w:cstheme="majorHAnsi"/>
                <w:bCs/>
                <w:vertAlign w:val="superscript"/>
              </w:rPr>
              <w:t>3 </w:t>
            </w:r>
            <w:r w:rsidRPr="00746E17">
              <w:rPr>
                <w:rFonts w:asciiTheme="majorHAnsi" w:hAnsiTheme="majorHAnsi" w:cstheme="majorHAnsi"/>
                <w:bCs/>
              </w:rPr>
              <w:t xml:space="preserve">Der Gemeinderat entscheidet auf Antrag der zuständigen Stelle gemäss Abs. 1 über Härtefälle. </w:t>
            </w:r>
          </w:p>
          <w:p w:rsidR="001B48DA" w:rsidRPr="00746E17" w:rsidRDefault="00CD001B" w:rsidP="00DC3034">
            <w:pPr>
              <w:spacing w:before="60" w:after="60"/>
              <w:jc w:val="both"/>
              <w:rPr>
                <w:rFonts w:asciiTheme="majorHAnsi" w:hAnsiTheme="majorHAnsi" w:cstheme="majorHAnsi"/>
                <w:bCs/>
              </w:rPr>
            </w:pPr>
            <w:r w:rsidRPr="00746E17">
              <w:rPr>
                <w:rFonts w:asciiTheme="majorHAnsi" w:hAnsiTheme="majorHAnsi" w:cstheme="majorHAnsi"/>
                <w:bCs/>
                <w:highlight w:val="lightGray"/>
              </w:rPr>
              <w:t>Oder</w:t>
            </w:r>
          </w:p>
          <w:p w:rsidR="001B48DA" w:rsidRPr="00746E17" w:rsidRDefault="00CD001B" w:rsidP="00E420E0">
            <w:pPr>
              <w:spacing w:before="60" w:after="60"/>
              <w:jc w:val="both"/>
              <w:rPr>
                <w:rFonts w:asciiTheme="majorHAnsi" w:hAnsiTheme="majorHAnsi" w:cstheme="majorHAnsi"/>
                <w:bCs/>
              </w:rPr>
            </w:pPr>
            <w:r w:rsidRPr="00746E17">
              <w:rPr>
                <w:rFonts w:asciiTheme="majorHAnsi" w:hAnsiTheme="majorHAnsi" w:cstheme="majorHAnsi"/>
                <w:bCs/>
                <w:vertAlign w:val="superscript"/>
              </w:rPr>
              <w:t>3 </w:t>
            </w:r>
            <w:r w:rsidRPr="00746E17">
              <w:rPr>
                <w:rFonts w:asciiTheme="majorHAnsi" w:hAnsiTheme="majorHAnsi" w:cstheme="majorHAnsi"/>
                <w:bCs/>
              </w:rPr>
              <w:t>Die zuständige Stelle gemäss Abs. 1 entscheidet über Härtefälle.</w:t>
            </w:r>
          </w:p>
        </w:tc>
        <w:tc>
          <w:tcPr>
            <w:tcW w:w="7883" w:type="dxa"/>
          </w:tcPr>
          <w:p w:rsidR="00983196" w:rsidRDefault="00983196" w:rsidP="00DC3034">
            <w:pPr>
              <w:pStyle w:val="Default"/>
              <w:spacing w:before="60" w:after="60"/>
              <w:rPr>
                <w:rFonts w:asciiTheme="majorHAnsi" w:hAnsiTheme="majorHAnsi" w:cstheme="majorHAnsi"/>
                <w:sz w:val="22"/>
                <w:szCs w:val="22"/>
              </w:rPr>
            </w:pPr>
          </w:p>
          <w:p w:rsidR="001B48DA" w:rsidRPr="00746E17" w:rsidRDefault="00983196" w:rsidP="00DC3034">
            <w:pPr>
              <w:pStyle w:val="Default"/>
              <w:spacing w:before="60" w:after="60"/>
              <w:rPr>
                <w:rFonts w:asciiTheme="majorHAnsi" w:hAnsiTheme="majorHAnsi" w:cstheme="majorHAnsi"/>
                <w:sz w:val="22"/>
                <w:szCs w:val="22"/>
              </w:rPr>
            </w:pPr>
            <w:r w:rsidRPr="00E8203E">
              <w:rPr>
                <w:rFonts w:asciiTheme="majorHAnsi" w:hAnsiTheme="majorHAnsi" w:cstheme="majorHAnsi"/>
                <w:sz w:val="22"/>
                <w:szCs w:val="22"/>
              </w:rPr>
              <w:t xml:space="preserve">Auf Stufe MBG und </w:t>
            </w:r>
            <w:proofErr w:type="spellStart"/>
            <w:r w:rsidRPr="00E8203E">
              <w:rPr>
                <w:rFonts w:asciiTheme="majorHAnsi" w:hAnsiTheme="majorHAnsi" w:cstheme="majorHAnsi"/>
                <w:sz w:val="22"/>
                <w:szCs w:val="22"/>
              </w:rPr>
              <w:t>Vo</w:t>
            </w:r>
            <w:proofErr w:type="spellEnd"/>
            <w:r w:rsidRPr="00E8203E">
              <w:rPr>
                <w:rFonts w:asciiTheme="majorHAnsi" w:hAnsiTheme="majorHAnsi" w:cstheme="majorHAnsi"/>
                <w:sz w:val="22"/>
                <w:szCs w:val="22"/>
              </w:rPr>
              <w:t xml:space="preserve"> MBG sind nur Härtefälle gemäss § 1 Abs. 3 </w:t>
            </w:r>
            <w:proofErr w:type="spellStart"/>
            <w:r w:rsidRPr="00E8203E">
              <w:rPr>
                <w:rFonts w:asciiTheme="majorHAnsi" w:hAnsiTheme="majorHAnsi" w:cstheme="majorHAnsi"/>
                <w:sz w:val="22"/>
                <w:szCs w:val="22"/>
              </w:rPr>
              <w:t>Vo</w:t>
            </w:r>
            <w:proofErr w:type="spellEnd"/>
            <w:r w:rsidRPr="00E8203E">
              <w:rPr>
                <w:rFonts w:asciiTheme="majorHAnsi" w:hAnsiTheme="majorHAnsi" w:cstheme="majorHAnsi"/>
                <w:sz w:val="22"/>
                <w:szCs w:val="22"/>
              </w:rPr>
              <w:t xml:space="preserve"> MBG geregelt, welche eine Erhöhung des Mietzinsbeitrags bis höchstens zum Mietzinsgrenzwert ermöglichen. </w:t>
            </w:r>
            <w:r w:rsidR="00CD2861" w:rsidRPr="00E8203E">
              <w:rPr>
                <w:rFonts w:asciiTheme="majorHAnsi" w:hAnsiTheme="majorHAnsi" w:cstheme="majorHAnsi"/>
                <w:sz w:val="22"/>
                <w:szCs w:val="22"/>
              </w:rPr>
              <w:t xml:space="preserve">Die Abrechnung gegenüber dem Kanton erfolgt bei diesen Fällen regulär. </w:t>
            </w:r>
            <w:r w:rsidRPr="00E8203E">
              <w:rPr>
                <w:rFonts w:asciiTheme="majorHAnsi" w:hAnsiTheme="majorHAnsi" w:cstheme="majorHAnsi"/>
                <w:sz w:val="22"/>
                <w:szCs w:val="22"/>
              </w:rPr>
              <w:t>Die Gemeinde kann</w:t>
            </w:r>
            <w:r w:rsidR="003431BF" w:rsidRPr="00E8203E">
              <w:rPr>
                <w:rFonts w:asciiTheme="majorHAnsi" w:hAnsiTheme="majorHAnsi" w:cstheme="majorHAnsi"/>
                <w:sz w:val="22"/>
                <w:szCs w:val="22"/>
              </w:rPr>
              <w:t xml:space="preserve"> aber auch ohne explizite kantonale Gesetzesgrundlage</w:t>
            </w:r>
            <w:r w:rsidRPr="00E8203E">
              <w:rPr>
                <w:rFonts w:asciiTheme="majorHAnsi" w:hAnsiTheme="majorHAnsi" w:cstheme="majorHAnsi"/>
                <w:sz w:val="22"/>
                <w:szCs w:val="22"/>
              </w:rPr>
              <w:t xml:space="preserve"> weitere Härtefälle, bspw. in Bezug auf die Anspruchsvoraussetzungen, genehmigen. In diesen Fällen kommt</w:t>
            </w:r>
            <w:r w:rsidR="000A647D" w:rsidRPr="00E8203E">
              <w:rPr>
                <w:rFonts w:asciiTheme="majorHAnsi" w:hAnsiTheme="majorHAnsi" w:cstheme="majorHAnsi"/>
                <w:sz w:val="22"/>
                <w:szCs w:val="22"/>
              </w:rPr>
              <w:t xml:space="preserve"> </w:t>
            </w:r>
            <w:r w:rsidRPr="00E8203E">
              <w:rPr>
                <w:rFonts w:asciiTheme="majorHAnsi" w:hAnsiTheme="majorHAnsi" w:cstheme="majorHAnsi"/>
                <w:sz w:val="22"/>
                <w:szCs w:val="22"/>
              </w:rPr>
              <w:t>die Gemeinde für die Kosten des Härtefalles auf.</w:t>
            </w:r>
          </w:p>
          <w:p w:rsidR="004D6852" w:rsidRPr="00746E17" w:rsidRDefault="00CD001B" w:rsidP="00983196">
            <w:pPr>
              <w:pStyle w:val="Default"/>
              <w:spacing w:before="60" w:after="60"/>
              <w:rPr>
                <w:rFonts w:asciiTheme="majorHAnsi" w:hAnsiTheme="majorHAnsi" w:cstheme="majorHAnsi"/>
                <w:sz w:val="22"/>
                <w:szCs w:val="22"/>
              </w:rPr>
            </w:pPr>
            <w:r w:rsidRPr="00746E17">
              <w:rPr>
                <w:rFonts w:asciiTheme="majorHAnsi" w:hAnsiTheme="majorHAnsi" w:cstheme="majorHAnsi"/>
                <w:sz w:val="22"/>
                <w:szCs w:val="22"/>
              </w:rPr>
              <w:t xml:space="preserve">Die Gemeinden können die Kompetenz zum Entscheid über Härtefälle dem Gemeinderat oder der Verwaltung übertragen. Da die Entscheide der Verwaltung an den Gemeinderat weitergezogen werden können (§ 10), </w:t>
            </w:r>
            <w:r>
              <w:rPr>
                <w:rFonts w:asciiTheme="majorHAnsi" w:hAnsiTheme="majorHAnsi" w:cstheme="majorHAnsi"/>
                <w:sz w:val="22"/>
                <w:szCs w:val="22"/>
              </w:rPr>
              <w:t xml:space="preserve">erscheint die Delegation an die Verwaltung sinnvoll, zumal der Gemeinderat im Beschwerdeverfahren als letzte Instanz </w:t>
            </w:r>
            <w:r w:rsidRPr="00746E17">
              <w:rPr>
                <w:rFonts w:asciiTheme="majorHAnsi" w:hAnsiTheme="majorHAnsi" w:cstheme="majorHAnsi"/>
                <w:sz w:val="22"/>
                <w:szCs w:val="22"/>
              </w:rPr>
              <w:t xml:space="preserve">entscheidet. </w:t>
            </w:r>
            <w:r>
              <w:rPr>
                <w:rFonts w:asciiTheme="majorHAnsi" w:hAnsiTheme="majorHAnsi" w:cstheme="majorHAnsi"/>
                <w:sz w:val="22"/>
                <w:szCs w:val="22"/>
              </w:rPr>
              <w:t>D</w:t>
            </w:r>
            <w:r w:rsidRPr="00746E17">
              <w:rPr>
                <w:rFonts w:asciiTheme="majorHAnsi" w:hAnsiTheme="majorHAnsi" w:cstheme="majorHAnsi"/>
                <w:sz w:val="22"/>
                <w:szCs w:val="22"/>
              </w:rPr>
              <w:t>enkbar</w:t>
            </w:r>
            <w:r>
              <w:rPr>
                <w:rFonts w:asciiTheme="majorHAnsi" w:hAnsiTheme="majorHAnsi" w:cstheme="majorHAnsi"/>
                <w:sz w:val="22"/>
                <w:szCs w:val="22"/>
              </w:rPr>
              <w:t xml:space="preserve"> ist</w:t>
            </w:r>
            <w:r w:rsidRPr="00746E17">
              <w:rPr>
                <w:rFonts w:asciiTheme="majorHAnsi" w:hAnsiTheme="majorHAnsi" w:cstheme="majorHAnsi"/>
                <w:sz w:val="22"/>
                <w:szCs w:val="22"/>
              </w:rPr>
              <w:t>, dass die Verwaltung Härtefälle gutheisst, von denen der Gemeinderat keine Kenntnis hat.</w:t>
            </w:r>
            <w:r>
              <w:rPr>
                <w:rFonts w:asciiTheme="majorHAnsi" w:hAnsiTheme="majorHAnsi" w:cstheme="majorHAnsi"/>
                <w:sz w:val="22"/>
                <w:szCs w:val="22"/>
              </w:rPr>
              <w:t xml:space="preserve"> Wenn man diese Möglichkeit ausschliessen will, dann empfiehlt sich von einer Delegation an die Verwaltung abzusehen.</w:t>
            </w:r>
          </w:p>
        </w:tc>
      </w:tr>
      <w:tr w:rsidR="00830F9B" w:rsidTr="007B4680">
        <w:tc>
          <w:tcPr>
            <w:tcW w:w="7143" w:type="dxa"/>
          </w:tcPr>
          <w:p w:rsidR="00A55A6F" w:rsidRPr="00746E17" w:rsidRDefault="00CD001B" w:rsidP="00DC3034">
            <w:pPr>
              <w:spacing w:before="60" w:after="60"/>
              <w:jc w:val="both"/>
              <w:rPr>
                <w:rFonts w:asciiTheme="majorHAnsi" w:hAnsiTheme="majorHAnsi" w:cstheme="majorHAnsi"/>
                <w:bCs/>
              </w:rPr>
            </w:pPr>
            <w:r w:rsidRPr="00746E17">
              <w:rPr>
                <w:rFonts w:asciiTheme="majorHAnsi" w:hAnsiTheme="majorHAnsi" w:cstheme="majorHAnsi"/>
                <w:bCs/>
                <w:vertAlign w:val="superscript"/>
              </w:rPr>
              <w:lastRenderedPageBreak/>
              <w:t>4 </w:t>
            </w:r>
            <w:r w:rsidRPr="00746E17">
              <w:rPr>
                <w:rFonts w:asciiTheme="majorHAnsi" w:hAnsiTheme="majorHAnsi" w:cstheme="majorHAnsi"/>
                <w:bCs/>
              </w:rPr>
              <w:t xml:space="preserve">Der Gemeinderat ist ermächtigt, die für den Vollzug dieses Reglements erforderliche Verordnung zu erlassen. </w:t>
            </w:r>
          </w:p>
        </w:tc>
        <w:tc>
          <w:tcPr>
            <w:tcW w:w="7883" w:type="dxa"/>
          </w:tcPr>
          <w:p w:rsidR="00A55A6F" w:rsidRPr="00746E17" w:rsidRDefault="00CD001B" w:rsidP="00DC3034">
            <w:pPr>
              <w:pStyle w:val="Default"/>
              <w:spacing w:before="60" w:after="60"/>
              <w:rPr>
                <w:rFonts w:asciiTheme="majorHAnsi" w:hAnsiTheme="majorHAnsi" w:cstheme="majorHAnsi"/>
                <w:sz w:val="22"/>
                <w:szCs w:val="22"/>
              </w:rPr>
            </w:pPr>
            <w:r w:rsidRPr="00746E17">
              <w:rPr>
                <w:rFonts w:asciiTheme="majorHAnsi" w:hAnsiTheme="majorHAnsi" w:cstheme="majorHAnsi"/>
                <w:sz w:val="22"/>
                <w:szCs w:val="22"/>
              </w:rPr>
              <w:t xml:space="preserve">In der Verordnung könnte man beispielsweise die zumutbaren </w:t>
            </w:r>
            <w:proofErr w:type="spellStart"/>
            <w:r w:rsidRPr="00746E17">
              <w:rPr>
                <w:rFonts w:asciiTheme="majorHAnsi" w:hAnsiTheme="majorHAnsi" w:cstheme="majorHAnsi"/>
                <w:sz w:val="22"/>
                <w:szCs w:val="22"/>
              </w:rPr>
              <w:t>Arbeitspensen</w:t>
            </w:r>
            <w:proofErr w:type="spellEnd"/>
            <w:r w:rsidRPr="00746E17">
              <w:rPr>
                <w:rFonts w:asciiTheme="majorHAnsi" w:hAnsiTheme="majorHAnsi" w:cstheme="majorHAnsi"/>
                <w:sz w:val="22"/>
                <w:szCs w:val="22"/>
              </w:rPr>
              <w:t xml:space="preserve"> regeln (§ 5), wenn man das nicht im Reglement regeln möchte. </w:t>
            </w:r>
          </w:p>
        </w:tc>
      </w:tr>
      <w:tr w:rsidR="00830F9B" w:rsidTr="007B4680">
        <w:tc>
          <w:tcPr>
            <w:tcW w:w="7143" w:type="dxa"/>
          </w:tcPr>
          <w:p w:rsidR="004E429E" w:rsidRPr="009C7F34" w:rsidRDefault="00CD001B" w:rsidP="009C7F34">
            <w:pPr>
              <w:numPr>
                <w:ilvl w:val="0"/>
                <w:numId w:val="26"/>
              </w:numPr>
              <w:spacing w:before="60" w:after="60"/>
              <w:jc w:val="both"/>
              <w:rPr>
                <w:rFonts w:asciiTheme="majorHAnsi" w:hAnsiTheme="majorHAnsi"/>
                <w:b/>
              </w:rPr>
            </w:pPr>
            <w:r w:rsidRPr="009C7F34">
              <w:rPr>
                <w:rFonts w:asciiTheme="majorHAnsi" w:hAnsiTheme="majorHAnsi"/>
                <w:b/>
              </w:rPr>
              <w:t xml:space="preserve">Verfahren </w:t>
            </w:r>
          </w:p>
          <w:p w:rsidR="0031471C" w:rsidRPr="00746E17" w:rsidRDefault="00CD001B" w:rsidP="00DC3034">
            <w:pPr>
              <w:tabs>
                <w:tab w:val="left" w:pos="142"/>
              </w:tabs>
              <w:spacing w:before="60" w:after="60"/>
              <w:jc w:val="both"/>
              <w:rPr>
                <w:rFonts w:asciiTheme="majorHAnsi" w:hAnsiTheme="majorHAnsi" w:cstheme="majorHAnsi"/>
              </w:rPr>
            </w:pPr>
            <w:r w:rsidRPr="00746E17">
              <w:rPr>
                <w:rFonts w:asciiTheme="majorHAnsi" w:hAnsiTheme="majorHAnsi" w:cstheme="majorHAnsi"/>
                <w:vertAlign w:val="superscript"/>
              </w:rPr>
              <w:t>1 </w:t>
            </w:r>
            <w:r w:rsidRPr="009C7F34">
              <w:rPr>
                <w:rFonts w:asciiTheme="majorHAnsi" w:hAnsiTheme="majorHAnsi"/>
              </w:rPr>
              <w:t xml:space="preserve">Gesuche um Ausrichtung von Mietzinsbeiträgen sind zusammen mit den notwendigen Unterlagen </w:t>
            </w:r>
            <w:r w:rsidRPr="00A97B10">
              <w:rPr>
                <w:rFonts w:asciiTheme="majorHAnsi" w:hAnsiTheme="majorHAnsi" w:cstheme="majorHAnsi"/>
                <w:highlight w:val="lightGray"/>
              </w:rPr>
              <w:t>(</w:t>
            </w:r>
            <w:r w:rsidRPr="009C7F34">
              <w:rPr>
                <w:rFonts w:asciiTheme="majorHAnsi" w:hAnsiTheme="majorHAnsi"/>
                <w:highlight w:val="lightGray"/>
              </w:rPr>
              <w:t>der zuständigen Abteilung</w:t>
            </w:r>
            <w:r w:rsidRPr="00A97B10">
              <w:rPr>
                <w:rFonts w:asciiTheme="majorHAnsi" w:hAnsiTheme="majorHAnsi" w:cstheme="majorHAnsi"/>
                <w:highlight w:val="lightGray"/>
              </w:rPr>
              <w:t>)</w:t>
            </w:r>
            <w:r w:rsidRPr="009C7F34">
              <w:rPr>
                <w:rFonts w:asciiTheme="majorHAnsi" w:hAnsiTheme="majorHAnsi"/>
              </w:rPr>
              <w:t xml:space="preserve"> der Gemeindeverwaltung einzureichen.</w:t>
            </w:r>
          </w:p>
          <w:p w:rsidR="00C554B3" w:rsidRPr="00746E17" w:rsidRDefault="00CD001B" w:rsidP="00DC3034">
            <w:pPr>
              <w:tabs>
                <w:tab w:val="left" w:pos="142"/>
              </w:tabs>
              <w:spacing w:before="60" w:after="60"/>
              <w:jc w:val="both"/>
              <w:rPr>
                <w:rFonts w:asciiTheme="majorHAnsi" w:hAnsiTheme="majorHAnsi" w:cstheme="majorHAnsi"/>
              </w:rPr>
            </w:pPr>
            <w:r w:rsidRPr="00746E17">
              <w:rPr>
                <w:rFonts w:asciiTheme="majorHAnsi" w:hAnsiTheme="majorHAnsi" w:cstheme="majorHAnsi"/>
                <w:highlight w:val="lightGray"/>
              </w:rPr>
              <w:t>Oder</w:t>
            </w:r>
            <w:r w:rsidRPr="00746E17">
              <w:rPr>
                <w:rFonts w:asciiTheme="majorHAnsi" w:hAnsiTheme="majorHAnsi" w:cstheme="majorHAnsi"/>
              </w:rPr>
              <w:t xml:space="preserve"> </w:t>
            </w:r>
          </w:p>
          <w:p w:rsidR="00C554B3" w:rsidRPr="005D0098" w:rsidRDefault="00CD001B" w:rsidP="009C7F34">
            <w:pPr>
              <w:tabs>
                <w:tab w:val="left" w:pos="142"/>
              </w:tabs>
              <w:spacing w:before="60" w:after="60"/>
              <w:jc w:val="both"/>
              <w:rPr>
                <w:rFonts w:asciiTheme="majorHAnsi" w:hAnsiTheme="majorHAnsi"/>
              </w:rPr>
            </w:pPr>
            <w:r w:rsidRPr="00746E17">
              <w:rPr>
                <w:rFonts w:asciiTheme="majorHAnsi" w:hAnsiTheme="majorHAnsi" w:cstheme="majorHAnsi"/>
                <w:vertAlign w:val="superscript"/>
              </w:rPr>
              <w:t>1 </w:t>
            </w:r>
            <w:r w:rsidRPr="00746E17">
              <w:rPr>
                <w:rFonts w:asciiTheme="majorHAnsi" w:hAnsiTheme="majorHAnsi" w:cstheme="majorHAnsi"/>
              </w:rPr>
              <w:t>Gesuche um Ausrichtung von Mietzinsbeiträgen sind zusammen mit den notwendigen Unterlagen der zuständigen Stelle gemäss § 7 Abs. 1 einzureichen.</w:t>
            </w:r>
          </w:p>
        </w:tc>
        <w:tc>
          <w:tcPr>
            <w:tcW w:w="7883" w:type="dxa"/>
          </w:tcPr>
          <w:p w:rsidR="00E7382F" w:rsidRPr="00746E17" w:rsidRDefault="00652AAB" w:rsidP="00DC3034">
            <w:pPr>
              <w:pStyle w:val="Default"/>
              <w:spacing w:before="60" w:after="60"/>
              <w:rPr>
                <w:rFonts w:asciiTheme="majorHAnsi" w:hAnsiTheme="majorHAnsi" w:cstheme="majorHAnsi"/>
                <w:sz w:val="22"/>
                <w:szCs w:val="22"/>
              </w:rPr>
            </w:pPr>
          </w:p>
          <w:p w:rsidR="00C554B3" w:rsidRPr="00B5571A" w:rsidRDefault="00CD001B" w:rsidP="00DC3034">
            <w:pPr>
              <w:pStyle w:val="Default"/>
              <w:spacing w:before="60" w:after="60"/>
              <w:rPr>
                <w:rFonts w:asciiTheme="majorHAnsi" w:hAnsiTheme="majorHAnsi" w:cstheme="majorHAnsi"/>
                <w:sz w:val="22"/>
                <w:szCs w:val="22"/>
              </w:rPr>
            </w:pPr>
            <w:r w:rsidRPr="00B5571A">
              <w:rPr>
                <w:rFonts w:asciiTheme="majorHAnsi" w:hAnsiTheme="majorHAnsi" w:cstheme="majorHAnsi"/>
                <w:sz w:val="22"/>
                <w:szCs w:val="22"/>
              </w:rPr>
              <w:t xml:space="preserve">Konkretisierung von § 11 MBG. </w:t>
            </w:r>
          </w:p>
          <w:p w:rsidR="0031471C" w:rsidRPr="005D0098" w:rsidRDefault="00CD001B" w:rsidP="005D0098">
            <w:pPr>
              <w:pStyle w:val="Default"/>
              <w:spacing w:before="60" w:after="60"/>
              <w:rPr>
                <w:rFonts w:asciiTheme="majorHAnsi" w:hAnsiTheme="majorHAnsi"/>
                <w:sz w:val="22"/>
              </w:rPr>
            </w:pPr>
            <w:r w:rsidRPr="00B5571A">
              <w:rPr>
                <w:rFonts w:asciiTheme="majorHAnsi" w:hAnsiTheme="majorHAnsi"/>
                <w:sz w:val="22"/>
                <w:szCs w:val="22"/>
              </w:rPr>
              <w:t xml:space="preserve">Die </w:t>
            </w:r>
            <w:r w:rsidRPr="00B5571A">
              <w:rPr>
                <w:rFonts w:asciiTheme="majorHAnsi" w:hAnsiTheme="majorHAnsi" w:cstheme="majorHAnsi"/>
                <w:sz w:val="22"/>
                <w:szCs w:val="22"/>
              </w:rPr>
              <w:t xml:space="preserve">Gemeinden sind </w:t>
            </w:r>
            <w:r w:rsidRPr="00B5571A">
              <w:rPr>
                <w:rFonts w:asciiTheme="majorHAnsi" w:hAnsiTheme="majorHAnsi"/>
                <w:sz w:val="22"/>
                <w:szCs w:val="22"/>
              </w:rPr>
              <w:t xml:space="preserve">bei der Definition des Verfahrens relativ frei. </w:t>
            </w:r>
            <w:r w:rsidRPr="00B5571A">
              <w:rPr>
                <w:rFonts w:asciiTheme="majorHAnsi" w:hAnsiTheme="majorHAnsi" w:cstheme="majorHAnsi"/>
                <w:sz w:val="22"/>
                <w:szCs w:val="22"/>
              </w:rPr>
              <w:t>Zwingend</w:t>
            </w:r>
            <w:r w:rsidRPr="00B5571A">
              <w:rPr>
                <w:rFonts w:asciiTheme="majorHAnsi" w:hAnsiTheme="majorHAnsi"/>
                <w:sz w:val="22"/>
                <w:szCs w:val="22"/>
              </w:rPr>
              <w:t xml:space="preserve"> im Reglement festzulegen</w:t>
            </w:r>
            <w:r w:rsidRPr="00B5571A">
              <w:rPr>
                <w:rFonts w:asciiTheme="majorHAnsi" w:hAnsiTheme="majorHAnsi" w:cstheme="majorHAnsi"/>
                <w:sz w:val="22"/>
                <w:szCs w:val="22"/>
              </w:rPr>
              <w:t xml:space="preserve"> ist aber die zuständige</w:t>
            </w:r>
            <w:r w:rsidRPr="00B5571A">
              <w:rPr>
                <w:rFonts w:asciiTheme="majorHAnsi" w:hAnsiTheme="majorHAnsi"/>
                <w:sz w:val="22"/>
                <w:szCs w:val="22"/>
              </w:rPr>
              <w:t xml:space="preserve"> Stelle in der Gemeinde analog </w:t>
            </w:r>
            <w:r w:rsidRPr="00B5571A">
              <w:rPr>
                <w:rFonts w:asciiTheme="majorHAnsi" w:hAnsiTheme="majorHAnsi" w:cstheme="majorHAnsi"/>
                <w:sz w:val="22"/>
                <w:szCs w:val="22"/>
              </w:rPr>
              <w:t xml:space="preserve">der </w:t>
            </w:r>
            <w:r w:rsidRPr="00B5571A">
              <w:rPr>
                <w:rFonts w:asciiTheme="majorHAnsi" w:hAnsiTheme="majorHAnsi"/>
                <w:sz w:val="22"/>
                <w:szCs w:val="22"/>
              </w:rPr>
              <w:t>Definition in § 7 Abs. 1.</w:t>
            </w:r>
            <w:r w:rsidRPr="005D0098">
              <w:rPr>
                <w:rFonts w:asciiTheme="majorHAnsi" w:hAnsiTheme="majorHAnsi"/>
                <w:sz w:val="22"/>
              </w:rPr>
              <w:t xml:space="preserve"> </w:t>
            </w:r>
          </w:p>
        </w:tc>
      </w:tr>
      <w:tr w:rsidR="00830F9B" w:rsidTr="007B4680">
        <w:tc>
          <w:tcPr>
            <w:tcW w:w="7143" w:type="dxa"/>
          </w:tcPr>
          <w:p w:rsidR="0031471C" w:rsidRPr="00746E17" w:rsidRDefault="00CD001B" w:rsidP="00DC3034">
            <w:pPr>
              <w:tabs>
                <w:tab w:val="left" w:pos="142"/>
              </w:tabs>
              <w:spacing w:before="60" w:after="60"/>
              <w:jc w:val="both"/>
              <w:rPr>
                <w:rFonts w:asciiTheme="majorHAnsi" w:hAnsiTheme="majorHAnsi" w:cstheme="majorHAnsi"/>
              </w:rPr>
            </w:pPr>
            <w:r w:rsidRPr="00746E17">
              <w:rPr>
                <w:rFonts w:asciiTheme="majorHAnsi" w:hAnsiTheme="majorHAnsi" w:cstheme="majorHAnsi"/>
                <w:vertAlign w:val="superscript"/>
              </w:rPr>
              <w:t>2</w:t>
            </w:r>
            <w:r w:rsidRPr="00746E17">
              <w:rPr>
                <w:rFonts w:asciiTheme="majorHAnsi" w:hAnsiTheme="majorHAnsi" w:cstheme="majorHAnsi"/>
              </w:rPr>
              <w:t> </w:t>
            </w:r>
            <w:r w:rsidRPr="005D0098">
              <w:rPr>
                <w:rFonts w:asciiTheme="majorHAnsi" w:hAnsiTheme="majorHAnsi"/>
              </w:rPr>
              <w:t>Die Beitragsberechtigung beginnt mit Vorliegen aller Unterlagen am ersten Tag des Folgemonats.</w:t>
            </w:r>
          </w:p>
          <w:p w:rsidR="00C554B3" w:rsidRPr="00746E17" w:rsidRDefault="00CD001B" w:rsidP="00DC3034">
            <w:pPr>
              <w:tabs>
                <w:tab w:val="left" w:pos="142"/>
              </w:tabs>
              <w:spacing w:before="60" w:after="60"/>
              <w:jc w:val="both"/>
              <w:rPr>
                <w:rFonts w:asciiTheme="majorHAnsi" w:hAnsiTheme="majorHAnsi" w:cstheme="majorHAnsi"/>
              </w:rPr>
            </w:pPr>
            <w:r w:rsidRPr="00746E17">
              <w:rPr>
                <w:rFonts w:asciiTheme="majorHAnsi" w:hAnsiTheme="majorHAnsi" w:cstheme="majorHAnsi"/>
                <w:highlight w:val="lightGray"/>
              </w:rPr>
              <w:t>Oder</w:t>
            </w:r>
            <w:r w:rsidRPr="00746E17">
              <w:rPr>
                <w:rFonts w:asciiTheme="majorHAnsi" w:hAnsiTheme="majorHAnsi" w:cstheme="majorHAnsi"/>
              </w:rPr>
              <w:t xml:space="preserve"> </w:t>
            </w:r>
          </w:p>
          <w:p w:rsidR="00C554B3" w:rsidRPr="00746E17" w:rsidRDefault="00CD001B" w:rsidP="00DC3034">
            <w:pPr>
              <w:tabs>
                <w:tab w:val="left" w:pos="142"/>
              </w:tabs>
              <w:spacing w:before="60" w:after="60"/>
              <w:jc w:val="both"/>
              <w:rPr>
                <w:rFonts w:asciiTheme="majorHAnsi" w:hAnsiTheme="majorHAnsi" w:cstheme="majorHAnsi"/>
              </w:rPr>
            </w:pPr>
            <w:r w:rsidRPr="00746E17">
              <w:rPr>
                <w:rFonts w:asciiTheme="majorHAnsi" w:hAnsiTheme="majorHAnsi" w:cstheme="majorHAnsi"/>
                <w:vertAlign w:val="superscript"/>
              </w:rPr>
              <w:t>2</w:t>
            </w:r>
            <w:r w:rsidRPr="00746E17">
              <w:rPr>
                <w:rFonts w:asciiTheme="majorHAnsi" w:hAnsiTheme="majorHAnsi" w:cstheme="majorHAnsi"/>
              </w:rPr>
              <w:t xml:space="preserve"> Die Beitragsberechtigung beginnt am ersten Tag des Folgemonats </w:t>
            </w:r>
            <w:r>
              <w:rPr>
                <w:rFonts w:asciiTheme="majorHAnsi" w:hAnsiTheme="majorHAnsi" w:cstheme="majorHAnsi"/>
              </w:rPr>
              <w:t>nach</w:t>
            </w:r>
            <w:r w:rsidRPr="00746E17">
              <w:rPr>
                <w:rFonts w:asciiTheme="majorHAnsi" w:hAnsiTheme="majorHAnsi" w:cstheme="majorHAnsi"/>
              </w:rPr>
              <w:t xml:space="preserve"> Einreichung des Beitragsgesuches.</w:t>
            </w:r>
          </w:p>
          <w:p w:rsidR="003012E9" w:rsidRPr="00746E17" w:rsidRDefault="00CD001B" w:rsidP="00DC3034">
            <w:pPr>
              <w:tabs>
                <w:tab w:val="left" w:pos="142"/>
              </w:tabs>
              <w:spacing w:before="60" w:after="60"/>
              <w:jc w:val="both"/>
              <w:rPr>
                <w:rFonts w:asciiTheme="majorHAnsi" w:hAnsiTheme="majorHAnsi" w:cstheme="majorHAnsi"/>
              </w:rPr>
            </w:pPr>
            <w:r w:rsidRPr="00746E17">
              <w:rPr>
                <w:rFonts w:asciiTheme="majorHAnsi" w:hAnsiTheme="majorHAnsi" w:cstheme="majorHAnsi"/>
                <w:highlight w:val="lightGray"/>
              </w:rPr>
              <w:t>Oder</w:t>
            </w:r>
          </w:p>
          <w:p w:rsidR="003012E9" w:rsidRPr="005D0098" w:rsidRDefault="00CD001B" w:rsidP="005D0098">
            <w:pPr>
              <w:tabs>
                <w:tab w:val="left" w:pos="142"/>
              </w:tabs>
              <w:spacing w:before="60" w:after="60"/>
              <w:jc w:val="both"/>
              <w:rPr>
                <w:rFonts w:asciiTheme="majorHAnsi" w:hAnsiTheme="majorHAnsi"/>
              </w:rPr>
            </w:pPr>
            <w:r w:rsidRPr="00746E17">
              <w:rPr>
                <w:rFonts w:asciiTheme="majorHAnsi" w:hAnsiTheme="majorHAnsi" w:cstheme="majorHAnsi"/>
                <w:vertAlign w:val="superscript"/>
              </w:rPr>
              <w:t>2 </w:t>
            </w:r>
            <w:r w:rsidRPr="00746E17">
              <w:rPr>
                <w:rFonts w:asciiTheme="majorHAnsi" w:hAnsiTheme="majorHAnsi" w:cstheme="majorHAnsi"/>
              </w:rPr>
              <w:t xml:space="preserve">Die Beitragsberechtigung beginnt rückwirkend am ersten Tag des Monats der </w:t>
            </w:r>
            <w:proofErr w:type="spellStart"/>
            <w:r w:rsidRPr="00746E17">
              <w:rPr>
                <w:rFonts w:asciiTheme="majorHAnsi" w:hAnsiTheme="majorHAnsi" w:cstheme="majorHAnsi"/>
              </w:rPr>
              <w:t>Gesuchseinreichung</w:t>
            </w:r>
            <w:proofErr w:type="spellEnd"/>
            <w:r w:rsidRPr="00746E17">
              <w:rPr>
                <w:rFonts w:asciiTheme="majorHAnsi" w:hAnsiTheme="majorHAnsi" w:cstheme="majorHAnsi"/>
              </w:rPr>
              <w:t xml:space="preserve">. </w:t>
            </w:r>
          </w:p>
        </w:tc>
        <w:tc>
          <w:tcPr>
            <w:tcW w:w="7883" w:type="dxa"/>
          </w:tcPr>
          <w:p w:rsidR="0031471C" w:rsidRPr="00746E17" w:rsidRDefault="00CD001B" w:rsidP="00DC3034">
            <w:pPr>
              <w:pStyle w:val="Default"/>
              <w:spacing w:before="60" w:after="60"/>
              <w:rPr>
                <w:rFonts w:asciiTheme="majorHAnsi" w:hAnsiTheme="majorHAnsi" w:cstheme="majorHAnsi"/>
                <w:sz w:val="22"/>
                <w:szCs w:val="22"/>
              </w:rPr>
            </w:pPr>
            <w:r w:rsidRPr="005D0098">
              <w:rPr>
                <w:rFonts w:asciiTheme="majorHAnsi" w:hAnsiTheme="majorHAnsi"/>
                <w:sz w:val="22"/>
              </w:rPr>
              <w:t xml:space="preserve">Die Gemeinde definiert den Beginn der Beitragsberechtigung. Dieser kann bspw. definiert sein als der erste Tag des </w:t>
            </w:r>
            <w:r w:rsidRPr="00746E17">
              <w:rPr>
                <w:rFonts w:asciiTheme="majorHAnsi" w:hAnsiTheme="majorHAnsi" w:cstheme="majorHAnsi"/>
                <w:sz w:val="22"/>
                <w:szCs w:val="22"/>
              </w:rPr>
              <w:t xml:space="preserve">Folgemonats, in dem alle Unterlagen vorliegen, aber auch zurückbezogen auf den Zeitpunkt der </w:t>
            </w:r>
            <w:proofErr w:type="spellStart"/>
            <w:r w:rsidRPr="00746E17">
              <w:rPr>
                <w:rFonts w:asciiTheme="majorHAnsi" w:hAnsiTheme="majorHAnsi" w:cstheme="majorHAnsi"/>
                <w:sz w:val="22"/>
                <w:szCs w:val="22"/>
              </w:rPr>
              <w:t>Gesuchseinreichung</w:t>
            </w:r>
            <w:proofErr w:type="spellEnd"/>
            <w:r w:rsidRPr="00746E17">
              <w:rPr>
                <w:rFonts w:asciiTheme="majorHAnsi" w:hAnsiTheme="majorHAnsi" w:cstheme="majorHAnsi"/>
                <w:sz w:val="22"/>
                <w:szCs w:val="22"/>
              </w:rPr>
              <w:t xml:space="preserve">. Letzteres kann dann eine Rolle spielen, wenn beispielsweise jemand am 29. das Gesuch einreicht, aber erst am 2. die restlichen erforderlichen Unterlagen. Bei der ersten Variante würde die betreffende Person einen ganzen Monat «verlieren». </w:t>
            </w:r>
          </w:p>
          <w:p w:rsidR="00C554B3" w:rsidRPr="005D0098" w:rsidRDefault="00CD001B" w:rsidP="005D0098">
            <w:pPr>
              <w:pStyle w:val="Default"/>
              <w:spacing w:before="60" w:after="60"/>
              <w:rPr>
                <w:rFonts w:asciiTheme="majorHAnsi" w:hAnsiTheme="majorHAnsi"/>
                <w:sz w:val="22"/>
              </w:rPr>
            </w:pPr>
            <w:r w:rsidRPr="00746E17">
              <w:rPr>
                <w:rFonts w:asciiTheme="majorHAnsi" w:hAnsiTheme="majorHAnsi" w:cstheme="majorHAnsi"/>
                <w:sz w:val="22"/>
                <w:szCs w:val="22"/>
              </w:rPr>
              <w:t xml:space="preserve">Möglich ist auch eine rückwirkende Geltung auf den ersten Tag des Monats der </w:t>
            </w:r>
            <w:proofErr w:type="spellStart"/>
            <w:r w:rsidRPr="00746E17">
              <w:rPr>
                <w:rFonts w:asciiTheme="majorHAnsi" w:hAnsiTheme="majorHAnsi" w:cstheme="majorHAnsi"/>
                <w:sz w:val="22"/>
                <w:szCs w:val="22"/>
              </w:rPr>
              <w:t>Gesuchseinreichung</w:t>
            </w:r>
            <w:proofErr w:type="spellEnd"/>
            <w:r w:rsidRPr="00746E17">
              <w:rPr>
                <w:rFonts w:asciiTheme="majorHAnsi" w:hAnsiTheme="majorHAnsi" w:cstheme="majorHAnsi"/>
                <w:sz w:val="22"/>
                <w:szCs w:val="22"/>
              </w:rPr>
              <w:t xml:space="preserve">. </w:t>
            </w:r>
          </w:p>
        </w:tc>
      </w:tr>
      <w:tr w:rsidR="00830F9B" w:rsidTr="007B4680">
        <w:tc>
          <w:tcPr>
            <w:tcW w:w="7143" w:type="dxa"/>
          </w:tcPr>
          <w:p w:rsidR="00C554B3" w:rsidRPr="00746E17" w:rsidRDefault="00CD001B" w:rsidP="00DC3034">
            <w:pPr>
              <w:tabs>
                <w:tab w:val="left" w:pos="142"/>
              </w:tabs>
              <w:spacing w:before="60" w:after="60"/>
              <w:jc w:val="both"/>
              <w:rPr>
                <w:rFonts w:asciiTheme="majorHAnsi" w:hAnsiTheme="majorHAnsi" w:cstheme="majorHAnsi"/>
              </w:rPr>
            </w:pPr>
            <w:r w:rsidRPr="00746E17">
              <w:rPr>
                <w:rFonts w:asciiTheme="majorHAnsi" w:hAnsiTheme="majorHAnsi" w:cstheme="majorHAnsi"/>
                <w:vertAlign w:val="superscript"/>
              </w:rPr>
              <w:t>3</w:t>
            </w:r>
            <w:r w:rsidRPr="00746E17">
              <w:rPr>
                <w:rFonts w:asciiTheme="majorHAnsi" w:hAnsiTheme="majorHAnsi" w:cstheme="majorHAnsi"/>
              </w:rPr>
              <w:t> </w:t>
            </w:r>
            <w:r w:rsidRPr="005D0098">
              <w:rPr>
                <w:rFonts w:asciiTheme="majorHAnsi" w:hAnsiTheme="majorHAnsi"/>
              </w:rPr>
              <w:t>Die Beitragsberechtigung gilt für die in der Verfügung genannte Zeitdauer, längstens jedoch bis zum Ablauf des Kalenderjahres oder bis zum Eintritt beitragsrelevanter Veränderungen der Verhältnisse.</w:t>
            </w:r>
          </w:p>
          <w:p w:rsidR="00A87ADB" w:rsidRPr="00746E17" w:rsidRDefault="00CD001B" w:rsidP="00DC3034">
            <w:pPr>
              <w:tabs>
                <w:tab w:val="left" w:pos="142"/>
              </w:tabs>
              <w:spacing w:before="60" w:after="60"/>
              <w:jc w:val="both"/>
              <w:rPr>
                <w:rFonts w:asciiTheme="majorHAnsi" w:hAnsiTheme="majorHAnsi" w:cstheme="majorHAnsi"/>
              </w:rPr>
            </w:pPr>
            <w:r w:rsidRPr="00746E17">
              <w:rPr>
                <w:rFonts w:asciiTheme="majorHAnsi" w:hAnsiTheme="majorHAnsi" w:cstheme="majorHAnsi"/>
                <w:highlight w:val="lightGray"/>
              </w:rPr>
              <w:t>Oder</w:t>
            </w:r>
            <w:r w:rsidRPr="00746E17">
              <w:rPr>
                <w:rFonts w:asciiTheme="majorHAnsi" w:hAnsiTheme="majorHAnsi" w:cstheme="majorHAnsi"/>
              </w:rPr>
              <w:t xml:space="preserve"> </w:t>
            </w:r>
          </w:p>
          <w:p w:rsidR="00A87ADB" w:rsidRPr="0015301A" w:rsidRDefault="00CD001B" w:rsidP="005D0098">
            <w:pPr>
              <w:tabs>
                <w:tab w:val="left" w:pos="142"/>
              </w:tabs>
              <w:spacing w:before="60" w:after="60"/>
              <w:jc w:val="both"/>
              <w:rPr>
                <w:rFonts w:asciiTheme="majorHAnsi" w:hAnsiTheme="majorHAnsi"/>
              </w:rPr>
            </w:pPr>
            <w:r w:rsidRPr="00746E17">
              <w:rPr>
                <w:rFonts w:asciiTheme="majorHAnsi" w:hAnsiTheme="majorHAnsi" w:cstheme="majorHAnsi"/>
                <w:vertAlign w:val="superscript"/>
              </w:rPr>
              <w:t>3</w:t>
            </w:r>
            <w:r w:rsidRPr="00746E17">
              <w:rPr>
                <w:rFonts w:asciiTheme="majorHAnsi" w:hAnsiTheme="majorHAnsi" w:cstheme="majorHAnsi"/>
              </w:rPr>
              <w:t xml:space="preserve"> Die Beitragsberechtigung gilt für die in der Verfügung genannte Zeitdauer, längstens jedoch </w:t>
            </w:r>
            <w:r w:rsidRPr="00A97B10">
              <w:rPr>
                <w:rFonts w:asciiTheme="majorHAnsi" w:hAnsiTheme="majorHAnsi" w:cstheme="majorHAnsi"/>
                <w:highlight w:val="lightGray"/>
              </w:rPr>
              <w:t>X Monate</w:t>
            </w:r>
            <w:r w:rsidRPr="00746E17">
              <w:rPr>
                <w:rFonts w:asciiTheme="majorHAnsi" w:hAnsiTheme="majorHAnsi" w:cstheme="majorHAnsi"/>
              </w:rPr>
              <w:t xml:space="preserve"> oder bis zum Eintritt beitragsrelevanter Veränderungen der Verhältnisse.</w:t>
            </w:r>
          </w:p>
        </w:tc>
        <w:tc>
          <w:tcPr>
            <w:tcW w:w="7883" w:type="dxa"/>
          </w:tcPr>
          <w:p w:rsidR="0031471C" w:rsidRPr="00746E17" w:rsidRDefault="00CD001B" w:rsidP="00DC3034">
            <w:pPr>
              <w:pStyle w:val="Default"/>
              <w:spacing w:before="60" w:after="60"/>
              <w:rPr>
                <w:rFonts w:asciiTheme="majorHAnsi" w:hAnsiTheme="majorHAnsi" w:cstheme="majorHAnsi"/>
                <w:sz w:val="22"/>
                <w:szCs w:val="22"/>
              </w:rPr>
            </w:pPr>
            <w:r w:rsidRPr="005D0098">
              <w:rPr>
                <w:rFonts w:asciiTheme="majorHAnsi" w:hAnsiTheme="majorHAnsi"/>
                <w:sz w:val="22"/>
              </w:rPr>
              <w:t>Die Gemeinde definiert die Dauer der Beitragsberechtigung. Sie nimmt dabei Bezug auf die Verfügung sowie allfällige beitragsrelevante Veränderungen der Verhältnisse.</w:t>
            </w:r>
            <w:r w:rsidRPr="00746E17">
              <w:rPr>
                <w:rFonts w:asciiTheme="majorHAnsi" w:hAnsiTheme="majorHAnsi" w:cstheme="majorHAnsi"/>
                <w:sz w:val="22"/>
                <w:szCs w:val="22"/>
              </w:rPr>
              <w:t xml:space="preserve"> </w:t>
            </w:r>
          </w:p>
          <w:p w:rsidR="00A87ADB" w:rsidRPr="00746E17" w:rsidRDefault="00CD001B" w:rsidP="00DC3034">
            <w:pPr>
              <w:pStyle w:val="Default"/>
              <w:spacing w:before="60" w:after="60"/>
              <w:rPr>
                <w:rFonts w:asciiTheme="majorHAnsi" w:hAnsiTheme="majorHAnsi" w:cstheme="majorHAnsi"/>
                <w:sz w:val="22"/>
                <w:szCs w:val="22"/>
              </w:rPr>
            </w:pPr>
            <w:r w:rsidRPr="00746E17">
              <w:rPr>
                <w:rFonts w:asciiTheme="majorHAnsi" w:hAnsiTheme="majorHAnsi" w:cstheme="majorHAnsi"/>
                <w:sz w:val="22"/>
                <w:szCs w:val="22"/>
              </w:rPr>
              <w:t>Die Gemeinde kann auch festlegen, dass die Verfügung eine bestimmte Anzahl Monate gültig ist, unabhängig vom Kalenderjahr. Das kann dann durchaus sinnvoll sein, wenn jemand im November ein Gesuch einreicht und die Verfügung innert 2 Monaten schon wieder erneuern lassen müsste.</w:t>
            </w:r>
          </w:p>
          <w:p w:rsidR="00C554B3" w:rsidRPr="0015301A" w:rsidRDefault="00CD001B" w:rsidP="0015301A">
            <w:pPr>
              <w:pStyle w:val="Default"/>
              <w:spacing w:before="60" w:after="60"/>
              <w:rPr>
                <w:rFonts w:asciiTheme="majorHAnsi" w:hAnsiTheme="majorHAnsi"/>
                <w:sz w:val="22"/>
              </w:rPr>
            </w:pPr>
            <w:r w:rsidRPr="00746E17">
              <w:rPr>
                <w:rFonts w:asciiTheme="majorHAnsi" w:hAnsiTheme="majorHAnsi" w:cstheme="majorHAnsi"/>
                <w:sz w:val="22"/>
                <w:szCs w:val="22"/>
              </w:rPr>
              <w:t xml:space="preserve">Mit Blick auf die Ressourcen in den Gemeinden empfiehlt sich </w:t>
            </w:r>
            <w:r>
              <w:rPr>
                <w:rFonts w:asciiTheme="majorHAnsi" w:hAnsiTheme="majorHAnsi" w:cstheme="majorHAnsi"/>
                <w:sz w:val="22"/>
                <w:szCs w:val="22"/>
              </w:rPr>
              <w:t xml:space="preserve">deshalb tendenziell </w:t>
            </w:r>
            <w:r w:rsidRPr="00746E17">
              <w:rPr>
                <w:rFonts w:asciiTheme="majorHAnsi" w:hAnsiTheme="majorHAnsi" w:cstheme="majorHAnsi"/>
                <w:sz w:val="22"/>
                <w:szCs w:val="22"/>
              </w:rPr>
              <w:t>eine feste Gültigkeitsdauer (z</w:t>
            </w:r>
            <w:r w:rsidR="00B5571A">
              <w:rPr>
                <w:rFonts w:asciiTheme="majorHAnsi" w:hAnsiTheme="majorHAnsi" w:cstheme="majorHAnsi"/>
                <w:sz w:val="22"/>
                <w:szCs w:val="22"/>
              </w:rPr>
              <w:t>.</w:t>
            </w:r>
            <w:r w:rsidRPr="00746E17">
              <w:rPr>
                <w:rFonts w:asciiTheme="majorHAnsi" w:hAnsiTheme="majorHAnsi" w:cstheme="majorHAnsi"/>
                <w:sz w:val="22"/>
                <w:szCs w:val="22"/>
              </w:rPr>
              <w:t>B</w:t>
            </w:r>
            <w:r w:rsidR="00B5571A">
              <w:rPr>
                <w:rFonts w:asciiTheme="majorHAnsi" w:hAnsiTheme="majorHAnsi" w:cstheme="majorHAnsi"/>
                <w:sz w:val="22"/>
                <w:szCs w:val="22"/>
              </w:rPr>
              <w:t>.</w:t>
            </w:r>
            <w:r w:rsidRPr="00746E17">
              <w:rPr>
                <w:rFonts w:asciiTheme="majorHAnsi" w:hAnsiTheme="majorHAnsi" w:cstheme="majorHAnsi"/>
                <w:sz w:val="22"/>
                <w:szCs w:val="22"/>
              </w:rPr>
              <w:t xml:space="preserve"> 6 oder 9 Monate), um Erneuerungen innert kürzester Zeit zu vermeiden. Dies erscheint auch insofern gerechtfertigt, als sich Mietzinserhöhungen bzw. -senkungen, aber auch Veränderungen beim Einkommen in der Regel nicht an das Kalenderjahr halten, sondern anderen Gesetzmässigkeiten folgen. </w:t>
            </w:r>
          </w:p>
        </w:tc>
      </w:tr>
      <w:tr w:rsidR="00830F9B" w:rsidTr="007B4680">
        <w:tc>
          <w:tcPr>
            <w:tcW w:w="7143" w:type="dxa"/>
          </w:tcPr>
          <w:p w:rsidR="0031471C" w:rsidRPr="00746E17" w:rsidRDefault="00CD001B" w:rsidP="00DC3034">
            <w:pPr>
              <w:tabs>
                <w:tab w:val="left" w:pos="142"/>
              </w:tabs>
              <w:spacing w:before="60" w:after="60"/>
              <w:jc w:val="both"/>
              <w:rPr>
                <w:rFonts w:asciiTheme="majorHAnsi" w:hAnsiTheme="majorHAnsi" w:cstheme="majorHAnsi"/>
              </w:rPr>
            </w:pPr>
            <w:r w:rsidRPr="00746E17">
              <w:rPr>
                <w:rFonts w:asciiTheme="majorHAnsi" w:hAnsiTheme="majorHAnsi" w:cstheme="majorHAnsi"/>
                <w:vertAlign w:val="superscript"/>
              </w:rPr>
              <w:lastRenderedPageBreak/>
              <w:t>4 </w:t>
            </w:r>
            <w:r w:rsidRPr="005D0098">
              <w:rPr>
                <w:rFonts w:asciiTheme="majorHAnsi" w:hAnsiTheme="majorHAnsi"/>
              </w:rPr>
              <w:t xml:space="preserve">Gesuche um Fortsetzung der Ausrichtung von Mietzinsbeiträgen sind jeweils bis zum 1. Februar des Folgejahres einzureichen. Bei Vollständigkeit der </w:t>
            </w:r>
            <w:proofErr w:type="spellStart"/>
            <w:r w:rsidRPr="005D0098">
              <w:rPr>
                <w:rFonts w:asciiTheme="majorHAnsi" w:hAnsiTheme="majorHAnsi"/>
              </w:rPr>
              <w:t>Gesuchsunterlagen</w:t>
            </w:r>
            <w:proofErr w:type="spellEnd"/>
            <w:r w:rsidRPr="005D0098">
              <w:rPr>
                <w:rFonts w:asciiTheme="majorHAnsi" w:hAnsiTheme="majorHAnsi"/>
              </w:rPr>
              <w:t xml:space="preserve"> und Einhaltung dieses Termins erfolgt die Ausrichtung der Mietzinsbeiträge bei Gutheissung rückwirkend auf den 1. Januar.</w:t>
            </w:r>
          </w:p>
          <w:p w:rsidR="00A87ADB" w:rsidRPr="00746E17" w:rsidRDefault="00CD001B" w:rsidP="00DC3034">
            <w:pPr>
              <w:tabs>
                <w:tab w:val="left" w:pos="142"/>
              </w:tabs>
              <w:spacing w:before="60" w:after="60"/>
              <w:jc w:val="both"/>
              <w:rPr>
                <w:rFonts w:asciiTheme="majorHAnsi" w:hAnsiTheme="majorHAnsi" w:cstheme="majorHAnsi"/>
              </w:rPr>
            </w:pPr>
            <w:r w:rsidRPr="00746E17">
              <w:rPr>
                <w:rFonts w:asciiTheme="majorHAnsi" w:hAnsiTheme="majorHAnsi" w:cstheme="majorHAnsi"/>
                <w:highlight w:val="lightGray"/>
              </w:rPr>
              <w:t>Oder</w:t>
            </w:r>
          </w:p>
          <w:p w:rsidR="00A87ADB" w:rsidRPr="00746E17" w:rsidRDefault="00CD001B" w:rsidP="00DC3034">
            <w:pPr>
              <w:tabs>
                <w:tab w:val="left" w:pos="142"/>
              </w:tabs>
              <w:spacing w:before="60" w:after="60"/>
              <w:jc w:val="both"/>
              <w:rPr>
                <w:rFonts w:asciiTheme="majorHAnsi" w:hAnsiTheme="majorHAnsi" w:cstheme="majorHAnsi"/>
              </w:rPr>
            </w:pPr>
            <w:r w:rsidRPr="00746E17">
              <w:rPr>
                <w:rFonts w:asciiTheme="majorHAnsi" w:hAnsiTheme="majorHAnsi" w:cstheme="majorHAnsi"/>
                <w:vertAlign w:val="superscript"/>
              </w:rPr>
              <w:t>4 </w:t>
            </w:r>
            <w:r w:rsidRPr="00746E17">
              <w:rPr>
                <w:rFonts w:asciiTheme="majorHAnsi" w:hAnsiTheme="majorHAnsi" w:cstheme="majorHAnsi"/>
              </w:rPr>
              <w:t xml:space="preserve">Gesuche um Fortsetzung der Ausrichtung von Mietzinsbeiträgen sind jeweils bis 30 Tage nach Ablauf der Verfügung einzureichen. Bei Vollständigkeit der </w:t>
            </w:r>
            <w:proofErr w:type="spellStart"/>
            <w:r w:rsidRPr="00746E17">
              <w:rPr>
                <w:rFonts w:asciiTheme="majorHAnsi" w:hAnsiTheme="majorHAnsi" w:cstheme="majorHAnsi"/>
              </w:rPr>
              <w:t>Gesuchsunterlagen</w:t>
            </w:r>
            <w:proofErr w:type="spellEnd"/>
            <w:r w:rsidRPr="00746E17">
              <w:rPr>
                <w:rFonts w:asciiTheme="majorHAnsi" w:hAnsiTheme="majorHAnsi" w:cstheme="majorHAnsi"/>
              </w:rPr>
              <w:t xml:space="preserve"> und Einhaltung dieses Termins erfolgt die Ausrichtung der Mietzinsbeiträge bei Gutheissung rückwirkend auf den 1. Tag nach Ablauf der Verfügung. </w:t>
            </w:r>
          </w:p>
          <w:p w:rsidR="00A87ADB" w:rsidRPr="005D0098" w:rsidRDefault="00652AAB" w:rsidP="005D0098">
            <w:pPr>
              <w:tabs>
                <w:tab w:val="left" w:pos="142"/>
              </w:tabs>
              <w:spacing w:before="60" w:after="60"/>
              <w:jc w:val="both"/>
              <w:rPr>
                <w:rFonts w:asciiTheme="majorHAnsi" w:hAnsiTheme="majorHAnsi"/>
              </w:rPr>
            </w:pPr>
          </w:p>
        </w:tc>
        <w:tc>
          <w:tcPr>
            <w:tcW w:w="7883" w:type="dxa"/>
          </w:tcPr>
          <w:p w:rsidR="0031471C" w:rsidRPr="00746E17" w:rsidRDefault="00CD001B" w:rsidP="00DC3034">
            <w:pPr>
              <w:pStyle w:val="Default"/>
              <w:spacing w:before="60" w:after="60"/>
              <w:rPr>
                <w:rFonts w:asciiTheme="majorHAnsi" w:hAnsiTheme="majorHAnsi" w:cstheme="majorHAnsi"/>
                <w:sz w:val="22"/>
                <w:szCs w:val="22"/>
              </w:rPr>
            </w:pPr>
            <w:r w:rsidRPr="005D0098">
              <w:rPr>
                <w:rFonts w:asciiTheme="majorHAnsi" w:hAnsiTheme="majorHAnsi"/>
                <w:sz w:val="22"/>
              </w:rPr>
              <w:t>Die Gemeinde definiert eine Frist, bis wann Gesuche um Fortsetzung der Ausrichtung von Mietzinsbeiträgen eingereicht werden müssen</w:t>
            </w:r>
            <w:r w:rsidRPr="00746E17">
              <w:rPr>
                <w:rFonts w:asciiTheme="majorHAnsi" w:hAnsiTheme="majorHAnsi" w:cstheme="majorHAnsi"/>
                <w:sz w:val="22"/>
                <w:szCs w:val="22"/>
              </w:rPr>
              <w:t xml:space="preserve">. Das kann der 1. Februar sein, aber auch der 1. April oder 1. Mai. Wenn die längste Gültigkeit der Verfügung das Ende des Kalenderjahres ist, erscheint der 1. Februar sinnvoll (Variante 1). Wenn die Gültigkeit der Verfügung sich nicht am Kalenderjahr orientiert, muss das Verlängerungsgesuch entsprechend dieser Frist eingereicht werden, wobei analog zur Variante 1 ein Monat seit Ablauf der Verfügung sinnvoll erscheint (Variante 2). </w:t>
            </w:r>
          </w:p>
          <w:p w:rsidR="00A87ADB" w:rsidRPr="00746E17" w:rsidRDefault="00652AAB" w:rsidP="00DC3034">
            <w:pPr>
              <w:pStyle w:val="Default"/>
              <w:spacing w:before="60" w:after="60"/>
              <w:rPr>
                <w:rFonts w:asciiTheme="majorHAnsi" w:hAnsiTheme="majorHAnsi" w:cstheme="majorHAnsi"/>
                <w:sz w:val="22"/>
                <w:szCs w:val="22"/>
              </w:rPr>
            </w:pPr>
          </w:p>
          <w:p w:rsidR="00A87ADB" w:rsidRPr="00746E17" w:rsidRDefault="00CD001B" w:rsidP="00DC3034">
            <w:pPr>
              <w:pStyle w:val="Default"/>
              <w:spacing w:before="60" w:after="60"/>
              <w:rPr>
                <w:rFonts w:asciiTheme="majorHAnsi" w:hAnsiTheme="majorHAnsi" w:cstheme="majorHAnsi"/>
                <w:sz w:val="22"/>
                <w:szCs w:val="22"/>
              </w:rPr>
            </w:pPr>
            <w:r w:rsidRPr="00746E17">
              <w:rPr>
                <w:rFonts w:asciiTheme="majorHAnsi" w:hAnsiTheme="majorHAnsi" w:cstheme="majorHAnsi"/>
                <w:sz w:val="22"/>
                <w:szCs w:val="22"/>
              </w:rPr>
              <w:t xml:space="preserve">Die rückwirkende Erneuerung der Verfügung bei rechtzeitiger und vollständiger Einreichung der Unterlagen erscheint in jedem Fall sinnvoll, um Lücken zu vermeiden. </w:t>
            </w:r>
          </w:p>
          <w:p w:rsidR="00A87ADB" w:rsidRPr="005D0098" w:rsidRDefault="00652AAB" w:rsidP="005D0098">
            <w:pPr>
              <w:pStyle w:val="Default"/>
              <w:spacing w:before="60" w:after="60"/>
              <w:rPr>
                <w:rFonts w:asciiTheme="majorHAnsi" w:hAnsiTheme="majorHAnsi"/>
                <w:sz w:val="22"/>
              </w:rPr>
            </w:pPr>
          </w:p>
          <w:p w:rsidR="0031471C" w:rsidRPr="005D0098" w:rsidRDefault="00CD001B" w:rsidP="005D0098">
            <w:pPr>
              <w:pStyle w:val="Default"/>
              <w:spacing w:before="60" w:after="60"/>
              <w:rPr>
                <w:rFonts w:asciiTheme="majorHAnsi" w:hAnsiTheme="majorHAnsi"/>
                <w:i/>
                <w:sz w:val="22"/>
              </w:rPr>
            </w:pPr>
            <w:r w:rsidRPr="005D0098">
              <w:rPr>
                <w:rFonts w:asciiTheme="majorHAnsi" w:hAnsiTheme="majorHAnsi"/>
                <w:sz w:val="22"/>
              </w:rPr>
              <w:t>Die Gemeinden sollen die Bezügerinnen und Bezüger jeweils frühzeitig in geeigneter Form (bspw. mittels Versand des Gesuchformulars) auf die Anforderungen zur Fortsetzung ihres Anspruchs informieren.</w:t>
            </w:r>
          </w:p>
        </w:tc>
      </w:tr>
      <w:tr w:rsidR="00830F9B" w:rsidTr="007B4680">
        <w:tc>
          <w:tcPr>
            <w:tcW w:w="7143" w:type="dxa"/>
          </w:tcPr>
          <w:p w:rsidR="006234EC" w:rsidRPr="00746E17" w:rsidRDefault="00CD001B" w:rsidP="00DC3034">
            <w:pPr>
              <w:spacing w:before="60" w:after="60"/>
              <w:rPr>
                <w:rFonts w:asciiTheme="majorHAnsi" w:hAnsiTheme="majorHAnsi" w:cstheme="majorHAnsi"/>
                <w:b/>
                <w:bCs/>
              </w:rPr>
            </w:pPr>
            <w:r w:rsidRPr="00746E17">
              <w:rPr>
                <w:rFonts w:asciiTheme="majorHAnsi" w:hAnsiTheme="majorHAnsi" w:cstheme="majorHAnsi"/>
                <w:b/>
                <w:bCs/>
              </w:rPr>
              <w:t>Fakultativ</w:t>
            </w:r>
          </w:p>
          <w:p w:rsidR="00AE72D6" w:rsidRPr="00746E17" w:rsidRDefault="00CD001B" w:rsidP="00DC3034">
            <w:pPr>
              <w:numPr>
                <w:ilvl w:val="0"/>
                <w:numId w:val="26"/>
              </w:numPr>
              <w:spacing w:before="60" w:after="60"/>
              <w:jc w:val="both"/>
              <w:rPr>
                <w:rFonts w:asciiTheme="majorHAnsi" w:hAnsiTheme="majorHAnsi" w:cstheme="majorHAnsi"/>
                <w:b/>
                <w:bCs/>
              </w:rPr>
            </w:pPr>
            <w:r w:rsidRPr="00746E17">
              <w:rPr>
                <w:rFonts w:asciiTheme="majorHAnsi" w:hAnsiTheme="majorHAnsi" w:cstheme="majorHAnsi"/>
                <w:b/>
                <w:bCs/>
              </w:rPr>
              <w:t>Auszahlung</w:t>
            </w:r>
          </w:p>
          <w:p w:rsidR="00B43319" w:rsidRPr="00746E17" w:rsidRDefault="00CD001B" w:rsidP="00DC3034">
            <w:pPr>
              <w:spacing w:before="60" w:after="60"/>
              <w:jc w:val="both"/>
              <w:rPr>
                <w:rFonts w:asciiTheme="majorHAnsi" w:hAnsiTheme="majorHAnsi" w:cstheme="majorHAnsi"/>
                <w:bCs/>
              </w:rPr>
            </w:pPr>
            <w:r w:rsidRPr="00746E17">
              <w:rPr>
                <w:rFonts w:asciiTheme="majorHAnsi" w:hAnsiTheme="majorHAnsi" w:cstheme="majorHAnsi"/>
                <w:bCs/>
                <w:vertAlign w:val="superscript"/>
              </w:rPr>
              <w:t>1 </w:t>
            </w:r>
            <w:r w:rsidRPr="00746E17">
              <w:rPr>
                <w:rFonts w:asciiTheme="majorHAnsi" w:hAnsiTheme="majorHAnsi" w:cstheme="majorHAnsi"/>
                <w:bCs/>
              </w:rPr>
              <w:t>Die zugesprochenen Beiträge werden in der Regel jeweils auf Monatsende ausbezahlt.</w:t>
            </w:r>
          </w:p>
        </w:tc>
        <w:tc>
          <w:tcPr>
            <w:tcW w:w="7883" w:type="dxa"/>
          </w:tcPr>
          <w:p w:rsidR="00AE72D6" w:rsidRPr="00746E17" w:rsidRDefault="00652AAB" w:rsidP="00DC3034">
            <w:pPr>
              <w:pStyle w:val="Default"/>
              <w:spacing w:before="60" w:after="60"/>
              <w:rPr>
                <w:rFonts w:asciiTheme="majorHAnsi" w:hAnsiTheme="majorHAnsi" w:cstheme="majorHAnsi"/>
                <w:sz w:val="22"/>
                <w:szCs w:val="22"/>
              </w:rPr>
            </w:pPr>
          </w:p>
          <w:p w:rsidR="00714C47" w:rsidRDefault="00714C47" w:rsidP="00DC3034">
            <w:pPr>
              <w:pStyle w:val="Default"/>
              <w:spacing w:before="60" w:after="60"/>
              <w:rPr>
                <w:rFonts w:asciiTheme="majorHAnsi" w:hAnsiTheme="majorHAnsi" w:cstheme="majorHAnsi"/>
                <w:sz w:val="22"/>
                <w:szCs w:val="22"/>
              </w:rPr>
            </w:pPr>
          </w:p>
          <w:p w:rsidR="006234EC" w:rsidRPr="00746E17" w:rsidRDefault="00CD001B" w:rsidP="00DC3034">
            <w:pPr>
              <w:pStyle w:val="Default"/>
              <w:spacing w:before="60" w:after="60"/>
              <w:rPr>
                <w:rFonts w:asciiTheme="majorHAnsi" w:hAnsiTheme="majorHAnsi" w:cstheme="majorHAnsi"/>
                <w:sz w:val="22"/>
                <w:szCs w:val="22"/>
              </w:rPr>
            </w:pPr>
            <w:r w:rsidRPr="00746E17">
              <w:rPr>
                <w:rFonts w:asciiTheme="majorHAnsi" w:hAnsiTheme="majorHAnsi" w:cstheme="majorHAnsi"/>
                <w:sz w:val="22"/>
                <w:szCs w:val="22"/>
              </w:rPr>
              <w:t xml:space="preserve">Es braucht nicht zwingend Bestimmungen über die Auszahlungsmodalitäten, aber sie schaffen Klarheit und bringen Transparenz. </w:t>
            </w:r>
          </w:p>
        </w:tc>
      </w:tr>
      <w:tr w:rsidR="00830F9B" w:rsidTr="006F7CD6">
        <w:tc>
          <w:tcPr>
            <w:tcW w:w="7143" w:type="dxa"/>
          </w:tcPr>
          <w:p w:rsidR="00B21726" w:rsidRPr="00746E17" w:rsidRDefault="00CD001B" w:rsidP="00DC3034">
            <w:pPr>
              <w:spacing w:before="60" w:after="60"/>
              <w:rPr>
                <w:rFonts w:asciiTheme="majorHAnsi" w:hAnsiTheme="majorHAnsi" w:cstheme="majorHAnsi"/>
                <w:b/>
                <w:bCs/>
              </w:rPr>
            </w:pPr>
            <w:r w:rsidRPr="00746E17">
              <w:rPr>
                <w:rFonts w:asciiTheme="majorHAnsi" w:hAnsiTheme="majorHAnsi" w:cstheme="majorHAnsi"/>
                <w:b/>
                <w:bCs/>
              </w:rPr>
              <w:t>Fakultativ</w:t>
            </w:r>
          </w:p>
          <w:p w:rsidR="006234EC" w:rsidRPr="00746E17" w:rsidRDefault="00CD001B" w:rsidP="00DC3034">
            <w:pPr>
              <w:spacing w:before="60" w:after="60"/>
              <w:rPr>
                <w:rFonts w:asciiTheme="majorHAnsi" w:hAnsiTheme="majorHAnsi" w:cstheme="majorHAnsi"/>
                <w:bCs/>
              </w:rPr>
            </w:pPr>
            <w:r w:rsidRPr="00746E17">
              <w:rPr>
                <w:rFonts w:asciiTheme="majorHAnsi" w:hAnsiTheme="majorHAnsi" w:cstheme="majorHAnsi"/>
                <w:bCs/>
                <w:vertAlign w:val="superscript"/>
              </w:rPr>
              <w:t>2 </w:t>
            </w:r>
            <w:r w:rsidRPr="00746E17">
              <w:rPr>
                <w:rFonts w:asciiTheme="majorHAnsi" w:hAnsiTheme="majorHAnsi" w:cstheme="majorHAnsi"/>
                <w:bCs/>
              </w:rPr>
              <w:t xml:space="preserve">Mit dem Einverständnis der Bezugsberechtigten können die Beiträge direkt der </w:t>
            </w:r>
            <w:proofErr w:type="spellStart"/>
            <w:r w:rsidRPr="00746E17">
              <w:rPr>
                <w:rFonts w:asciiTheme="majorHAnsi" w:hAnsiTheme="majorHAnsi" w:cstheme="majorHAnsi"/>
                <w:bCs/>
              </w:rPr>
              <w:t>Vermieterschaft</w:t>
            </w:r>
            <w:proofErr w:type="spellEnd"/>
            <w:r w:rsidRPr="00746E17">
              <w:rPr>
                <w:rFonts w:asciiTheme="majorHAnsi" w:hAnsiTheme="majorHAnsi" w:cstheme="majorHAnsi"/>
                <w:bCs/>
              </w:rPr>
              <w:t xml:space="preserve"> ausgerichtet werden. </w:t>
            </w:r>
          </w:p>
        </w:tc>
        <w:tc>
          <w:tcPr>
            <w:tcW w:w="7883" w:type="dxa"/>
          </w:tcPr>
          <w:p w:rsidR="006234EC" w:rsidRPr="00746E17" w:rsidRDefault="00652AAB" w:rsidP="00DC3034">
            <w:pPr>
              <w:pStyle w:val="Default"/>
              <w:spacing w:before="60" w:after="60"/>
              <w:rPr>
                <w:rFonts w:asciiTheme="majorHAnsi" w:hAnsiTheme="majorHAnsi" w:cstheme="majorHAnsi"/>
                <w:sz w:val="22"/>
                <w:szCs w:val="22"/>
              </w:rPr>
            </w:pPr>
          </w:p>
          <w:p w:rsidR="00B21726" w:rsidRPr="00CD2043" w:rsidRDefault="00CD001B" w:rsidP="00DC3034">
            <w:pPr>
              <w:pStyle w:val="Default"/>
              <w:spacing w:before="60" w:after="60"/>
              <w:rPr>
                <w:rFonts w:asciiTheme="majorHAnsi" w:hAnsiTheme="majorHAnsi" w:cstheme="majorHAnsi"/>
                <w:sz w:val="22"/>
                <w:szCs w:val="22"/>
              </w:rPr>
            </w:pPr>
            <w:r w:rsidRPr="00746E17">
              <w:rPr>
                <w:rFonts w:asciiTheme="majorHAnsi" w:hAnsiTheme="majorHAnsi" w:cstheme="majorHAnsi"/>
                <w:sz w:val="22"/>
                <w:szCs w:val="22"/>
              </w:rPr>
              <w:t xml:space="preserve">Ob man die Überweisung direkt an die </w:t>
            </w:r>
            <w:proofErr w:type="spellStart"/>
            <w:r w:rsidRPr="00746E17">
              <w:rPr>
                <w:rFonts w:asciiTheme="majorHAnsi" w:hAnsiTheme="majorHAnsi" w:cstheme="majorHAnsi"/>
                <w:sz w:val="22"/>
                <w:szCs w:val="22"/>
              </w:rPr>
              <w:t>Vermieterschaft</w:t>
            </w:r>
            <w:proofErr w:type="spellEnd"/>
            <w:r w:rsidRPr="00746E17">
              <w:rPr>
                <w:rFonts w:asciiTheme="majorHAnsi" w:hAnsiTheme="majorHAnsi" w:cstheme="majorHAnsi"/>
                <w:sz w:val="22"/>
                <w:szCs w:val="22"/>
              </w:rPr>
              <w:t xml:space="preserve"> – bei Einverständnis der </w:t>
            </w:r>
            <w:r w:rsidRPr="00CD2043">
              <w:rPr>
                <w:rFonts w:asciiTheme="majorHAnsi" w:hAnsiTheme="majorHAnsi" w:cstheme="majorHAnsi"/>
                <w:sz w:val="22"/>
                <w:szCs w:val="22"/>
              </w:rPr>
              <w:t>Bezugsberechtigten – anbieten will oder nicht, muss jede Gemeinde selbst entscheiden.</w:t>
            </w:r>
            <w:r w:rsidR="00C31EF5" w:rsidRPr="00CD2043">
              <w:rPr>
                <w:rFonts w:asciiTheme="majorHAnsi" w:hAnsiTheme="majorHAnsi" w:cstheme="majorHAnsi"/>
                <w:sz w:val="22"/>
                <w:szCs w:val="22"/>
              </w:rPr>
              <w:t xml:space="preserve"> </w:t>
            </w:r>
          </w:p>
          <w:p w:rsidR="00C31EF5" w:rsidRPr="00746E17" w:rsidRDefault="0046019D" w:rsidP="00912AE2">
            <w:pPr>
              <w:pStyle w:val="Default"/>
              <w:spacing w:before="60" w:after="60"/>
              <w:rPr>
                <w:rFonts w:asciiTheme="majorHAnsi" w:hAnsiTheme="majorHAnsi" w:cstheme="majorHAnsi"/>
                <w:sz w:val="22"/>
                <w:szCs w:val="22"/>
              </w:rPr>
            </w:pPr>
            <w:r w:rsidRPr="00CD2043">
              <w:rPr>
                <w:rFonts w:asciiTheme="majorHAnsi" w:hAnsiTheme="majorHAnsi" w:cstheme="majorHAnsi"/>
                <w:sz w:val="22"/>
                <w:szCs w:val="22"/>
              </w:rPr>
              <w:t xml:space="preserve">Die Gemeinde kann das Vorgehen im Reglement oder in der Verordnung regeln. Aufgrund des einzuholenden Einverständnisses der Bezugsberechtigten ist auch eine Umsetzung </w:t>
            </w:r>
            <w:r w:rsidR="00C31EF5" w:rsidRPr="00CD2043">
              <w:rPr>
                <w:rFonts w:asciiTheme="majorHAnsi" w:hAnsiTheme="majorHAnsi" w:cstheme="majorHAnsi"/>
                <w:sz w:val="22"/>
                <w:szCs w:val="22"/>
              </w:rPr>
              <w:t xml:space="preserve">ohne </w:t>
            </w:r>
            <w:r w:rsidRPr="00CD2043">
              <w:rPr>
                <w:rFonts w:asciiTheme="majorHAnsi" w:hAnsiTheme="majorHAnsi" w:cstheme="majorHAnsi"/>
                <w:sz w:val="22"/>
                <w:szCs w:val="22"/>
              </w:rPr>
              <w:t xml:space="preserve">explizite </w:t>
            </w:r>
            <w:r w:rsidR="00C31EF5" w:rsidRPr="00CD2043">
              <w:rPr>
                <w:rFonts w:asciiTheme="majorHAnsi" w:hAnsiTheme="majorHAnsi" w:cstheme="majorHAnsi"/>
                <w:sz w:val="22"/>
                <w:szCs w:val="22"/>
              </w:rPr>
              <w:t xml:space="preserve">Regelung </w:t>
            </w:r>
            <w:r w:rsidRPr="00CD2043">
              <w:rPr>
                <w:rFonts w:asciiTheme="majorHAnsi" w:hAnsiTheme="majorHAnsi" w:cstheme="majorHAnsi"/>
                <w:sz w:val="22"/>
                <w:szCs w:val="22"/>
              </w:rPr>
              <w:t>in Reglement oder Verordnung möglich.</w:t>
            </w:r>
          </w:p>
        </w:tc>
      </w:tr>
      <w:tr w:rsidR="00830F9B" w:rsidTr="007B4680">
        <w:tc>
          <w:tcPr>
            <w:tcW w:w="7143" w:type="dxa"/>
          </w:tcPr>
          <w:p w:rsidR="0031471C" w:rsidRPr="005D0098" w:rsidRDefault="005B6AC8" w:rsidP="005D0098">
            <w:pPr>
              <w:numPr>
                <w:ilvl w:val="0"/>
                <w:numId w:val="26"/>
              </w:numPr>
              <w:spacing w:before="60" w:after="60"/>
              <w:jc w:val="both"/>
              <w:rPr>
                <w:rFonts w:asciiTheme="majorHAnsi" w:hAnsiTheme="majorHAnsi"/>
              </w:rPr>
            </w:pPr>
            <w:r>
              <w:rPr>
                <w:rFonts w:asciiTheme="majorHAnsi" w:hAnsiTheme="majorHAnsi"/>
                <w:b/>
              </w:rPr>
              <w:t>Rechtsmittel</w:t>
            </w:r>
          </w:p>
          <w:p w:rsidR="0031471C" w:rsidRDefault="005B6AC8" w:rsidP="005B6AC8">
            <w:pPr>
              <w:tabs>
                <w:tab w:val="left" w:pos="142"/>
              </w:tabs>
              <w:spacing w:before="60" w:after="60"/>
              <w:jc w:val="both"/>
              <w:rPr>
                <w:rFonts w:asciiTheme="majorHAnsi" w:hAnsiTheme="majorHAnsi"/>
              </w:rPr>
            </w:pPr>
            <w:r>
              <w:rPr>
                <w:rFonts w:asciiTheme="majorHAnsi" w:hAnsiTheme="majorHAnsi" w:cstheme="majorHAnsi"/>
                <w:bCs/>
                <w:vertAlign w:val="superscript"/>
              </w:rPr>
              <w:t>1</w:t>
            </w:r>
            <w:r w:rsidRPr="00746E17">
              <w:rPr>
                <w:rFonts w:asciiTheme="majorHAnsi" w:hAnsiTheme="majorHAnsi" w:cstheme="majorHAnsi"/>
                <w:bCs/>
                <w:vertAlign w:val="superscript"/>
              </w:rPr>
              <w:t> </w:t>
            </w:r>
            <w:r w:rsidR="00CD001B" w:rsidRPr="005D0098">
              <w:rPr>
                <w:rFonts w:asciiTheme="majorHAnsi" w:hAnsiTheme="majorHAnsi"/>
              </w:rPr>
              <w:t xml:space="preserve">Gegen Verfügungen der Gemeindeverwaltung oder </w:t>
            </w:r>
            <w:r w:rsidR="00CD001B" w:rsidRPr="00746E17">
              <w:rPr>
                <w:rFonts w:asciiTheme="majorHAnsi" w:hAnsiTheme="majorHAnsi" w:cstheme="majorHAnsi"/>
              </w:rPr>
              <w:t>der gemeinsam</w:t>
            </w:r>
            <w:r w:rsidR="00CD001B" w:rsidRPr="005D0098">
              <w:rPr>
                <w:rFonts w:asciiTheme="majorHAnsi" w:hAnsiTheme="majorHAnsi"/>
              </w:rPr>
              <w:t xml:space="preserve"> mit anderen Gemeinden </w:t>
            </w:r>
            <w:r w:rsidR="00CD001B" w:rsidRPr="00746E17">
              <w:rPr>
                <w:rFonts w:asciiTheme="majorHAnsi" w:hAnsiTheme="majorHAnsi" w:cstheme="majorHAnsi"/>
              </w:rPr>
              <w:t>betriebenen</w:t>
            </w:r>
            <w:r w:rsidR="00CD001B" w:rsidRPr="005D0098">
              <w:rPr>
                <w:rFonts w:asciiTheme="majorHAnsi" w:hAnsiTheme="majorHAnsi"/>
              </w:rPr>
              <w:t xml:space="preserve"> Stelle kann innert 10 Tagen seit Zustellung schriftlich und begründet beim Gemeinderat </w:t>
            </w:r>
            <w:r>
              <w:rPr>
                <w:rFonts w:asciiTheme="majorHAnsi" w:hAnsiTheme="majorHAnsi"/>
              </w:rPr>
              <w:t>Beschwerde</w:t>
            </w:r>
            <w:r w:rsidR="00CD001B" w:rsidRPr="005D0098">
              <w:rPr>
                <w:rFonts w:asciiTheme="majorHAnsi" w:hAnsiTheme="majorHAnsi"/>
              </w:rPr>
              <w:t xml:space="preserve"> erhoben werden.</w:t>
            </w:r>
          </w:p>
          <w:p w:rsidR="005B6AC8" w:rsidRPr="00746E17" w:rsidRDefault="005B6AC8" w:rsidP="005B6AC8">
            <w:pPr>
              <w:tabs>
                <w:tab w:val="left" w:pos="142"/>
              </w:tabs>
              <w:spacing w:before="60" w:after="60"/>
              <w:jc w:val="both"/>
              <w:rPr>
                <w:rFonts w:asciiTheme="majorHAnsi" w:hAnsiTheme="majorHAnsi" w:cstheme="majorHAnsi"/>
              </w:rPr>
            </w:pPr>
            <w:r w:rsidRPr="00746E17">
              <w:rPr>
                <w:rFonts w:asciiTheme="majorHAnsi" w:hAnsiTheme="majorHAnsi" w:cstheme="majorHAnsi"/>
                <w:highlight w:val="lightGray"/>
              </w:rPr>
              <w:t>Oder</w:t>
            </w:r>
          </w:p>
          <w:p w:rsidR="005B6AC8" w:rsidRPr="005D0098" w:rsidRDefault="005B6AC8" w:rsidP="005B6AC8">
            <w:pPr>
              <w:tabs>
                <w:tab w:val="left" w:pos="142"/>
              </w:tabs>
              <w:spacing w:before="60" w:after="60"/>
              <w:jc w:val="both"/>
              <w:rPr>
                <w:rFonts w:asciiTheme="majorHAnsi" w:hAnsiTheme="majorHAnsi"/>
              </w:rPr>
            </w:pPr>
            <w:r>
              <w:rPr>
                <w:rFonts w:asciiTheme="majorHAnsi" w:hAnsiTheme="majorHAnsi" w:cstheme="majorHAnsi"/>
                <w:bCs/>
                <w:vertAlign w:val="superscript"/>
              </w:rPr>
              <w:t>1</w:t>
            </w:r>
            <w:r w:rsidRPr="00746E17">
              <w:rPr>
                <w:rFonts w:asciiTheme="majorHAnsi" w:hAnsiTheme="majorHAnsi" w:cstheme="majorHAnsi"/>
                <w:bCs/>
                <w:vertAlign w:val="superscript"/>
              </w:rPr>
              <w:t> </w:t>
            </w:r>
            <w:r>
              <w:rPr>
                <w:rFonts w:asciiTheme="majorHAnsi" w:hAnsiTheme="majorHAnsi"/>
              </w:rPr>
              <w:t>Gegen Verfügungen</w:t>
            </w:r>
            <w:r w:rsidRPr="005B6AC8">
              <w:rPr>
                <w:rFonts w:asciiTheme="majorHAnsi" w:hAnsiTheme="majorHAnsi"/>
              </w:rPr>
              <w:t xml:space="preserve"> des Gemeinderats kann innert 10 Tagen seit Zustellung schriftlich und begründet beim Gemeinderat Einsprache erhoben werden.</w:t>
            </w:r>
          </w:p>
        </w:tc>
        <w:tc>
          <w:tcPr>
            <w:tcW w:w="7883" w:type="dxa"/>
          </w:tcPr>
          <w:p w:rsidR="00A87ADB" w:rsidRPr="00746E17" w:rsidRDefault="00652AAB" w:rsidP="00DC3034">
            <w:pPr>
              <w:pStyle w:val="Default"/>
              <w:spacing w:before="60" w:after="60"/>
              <w:rPr>
                <w:rFonts w:asciiTheme="majorHAnsi" w:hAnsiTheme="majorHAnsi" w:cstheme="majorHAnsi"/>
                <w:sz w:val="22"/>
                <w:szCs w:val="22"/>
              </w:rPr>
            </w:pPr>
          </w:p>
          <w:p w:rsidR="00A87ADB" w:rsidRPr="00746E17" w:rsidRDefault="00CD001B" w:rsidP="00DC3034">
            <w:pPr>
              <w:pStyle w:val="Default"/>
              <w:spacing w:before="60" w:after="60"/>
              <w:rPr>
                <w:rFonts w:asciiTheme="majorHAnsi" w:hAnsiTheme="majorHAnsi" w:cstheme="majorHAnsi"/>
                <w:sz w:val="22"/>
                <w:szCs w:val="22"/>
              </w:rPr>
            </w:pPr>
            <w:r w:rsidRPr="00746E17">
              <w:rPr>
                <w:rFonts w:asciiTheme="majorHAnsi" w:hAnsiTheme="majorHAnsi" w:cstheme="majorHAnsi"/>
                <w:sz w:val="22"/>
                <w:szCs w:val="22"/>
              </w:rPr>
              <w:t xml:space="preserve">Konkretisierung von § 11 MBG. </w:t>
            </w:r>
          </w:p>
          <w:p w:rsidR="00A87ADB" w:rsidRPr="005B6AC8" w:rsidRDefault="00CD001B" w:rsidP="0015301A">
            <w:pPr>
              <w:pStyle w:val="Default"/>
              <w:spacing w:before="60" w:after="60"/>
              <w:rPr>
                <w:rFonts w:asciiTheme="majorHAnsi" w:hAnsiTheme="majorHAnsi" w:cstheme="majorHAnsi"/>
                <w:sz w:val="22"/>
                <w:szCs w:val="22"/>
              </w:rPr>
            </w:pPr>
            <w:r w:rsidRPr="005D0098">
              <w:rPr>
                <w:rFonts w:asciiTheme="majorHAnsi" w:hAnsiTheme="majorHAnsi"/>
                <w:sz w:val="22"/>
              </w:rPr>
              <w:t>Zuständige Stelle in der Gemeinde analog Definition in § 7 Abs. 1.</w:t>
            </w:r>
            <w:r w:rsidR="007C3526">
              <w:rPr>
                <w:rFonts w:asciiTheme="majorHAnsi" w:hAnsiTheme="majorHAnsi"/>
                <w:sz w:val="22"/>
              </w:rPr>
              <w:t xml:space="preserve"> Je nach verfügender Stelle (Verwaltung oder Gemeinderat) unterscheidet s</w:t>
            </w:r>
            <w:r w:rsidR="0023707E">
              <w:rPr>
                <w:rFonts w:asciiTheme="majorHAnsi" w:hAnsiTheme="majorHAnsi"/>
                <w:sz w:val="22"/>
              </w:rPr>
              <w:t xml:space="preserve">ich das Wording (Beschwerde oder </w:t>
            </w:r>
            <w:r w:rsidR="007C3526">
              <w:rPr>
                <w:rFonts w:asciiTheme="majorHAnsi" w:hAnsiTheme="majorHAnsi"/>
                <w:sz w:val="22"/>
              </w:rPr>
              <w:t xml:space="preserve">Einsprache) – siehe </w:t>
            </w:r>
            <w:r w:rsidR="006B15F0">
              <w:rPr>
                <w:rFonts w:asciiTheme="majorHAnsi" w:hAnsiTheme="majorHAnsi"/>
                <w:sz w:val="22"/>
              </w:rPr>
              <w:t xml:space="preserve">aufgeführte </w:t>
            </w:r>
            <w:r w:rsidR="007C3526">
              <w:rPr>
                <w:rFonts w:asciiTheme="majorHAnsi" w:hAnsiTheme="majorHAnsi"/>
                <w:sz w:val="22"/>
              </w:rPr>
              <w:t>Varianten.</w:t>
            </w:r>
          </w:p>
        </w:tc>
      </w:tr>
      <w:tr w:rsidR="00830F9B" w:rsidTr="00186C6D">
        <w:tc>
          <w:tcPr>
            <w:tcW w:w="7143" w:type="dxa"/>
            <w:shd w:val="clear" w:color="auto" w:fill="F2F2F2" w:themeFill="background1" w:themeFillShade="F2"/>
          </w:tcPr>
          <w:p w:rsidR="0031471C" w:rsidRPr="0015301A" w:rsidRDefault="00CD001B" w:rsidP="0015301A">
            <w:pPr>
              <w:spacing w:before="60" w:after="60"/>
              <w:jc w:val="both"/>
              <w:rPr>
                <w:rFonts w:asciiTheme="majorHAnsi" w:hAnsiTheme="majorHAnsi"/>
              </w:rPr>
            </w:pPr>
            <w:bookmarkStart w:id="1" w:name="_GoBack"/>
            <w:bookmarkEnd w:id="1"/>
            <w:r w:rsidRPr="0015301A">
              <w:rPr>
                <w:rFonts w:asciiTheme="majorHAnsi" w:hAnsiTheme="majorHAnsi"/>
                <w:b/>
                <w:sz w:val="28"/>
              </w:rPr>
              <w:lastRenderedPageBreak/>
              <w:t>E. Schlussbestimmungen</w:t>
            </w:r>
          </w:p>
        </w:tc>
        <w:tc>
          <w:tcPr>
            <w:tcW w:w="7883" w:type="dxa"/>
            <w:shd w:val="clear" w:color="auto" w:fill="F2F2F2" w:themeFill="background1" w:themeFillShade="F2"/>
          </w:tcPr>
          <w:p w:rsidR="0031471C" w:rsidRPr="0015301A" w:rsidRDefault="0031471C" w:rsidP="0015301A">
            <w:pPr>
              <w:pStyle w:val="Default"/>
              <w:spacing w:before="60" w:after="60"/>
              <w:rPr>
                <w:rFonts w:asciiTheme="majorHAnsi" w:hAnsiTheme="majorHAnsi"/>
                <w:i/>
                <w:sz w:val="22"/>
              </w:rPr>
            </w:pPr>
          </w:p>
        </w:tc>
      </w:tr>
      <w:tr w:rsidR="00830F9B" w:rsidTr="007B4680">
        <w:tc>
          <w:tcPr>
            <w:tcW w:w="7143" w:type="dxa"/>
          </w:tcPr>
          <w:p w:rsidR="0031471C" w:rsidRPr="005D0098" w:rsidRDefault="00CD001B" w:rsidP="005D0098">
            <w:pPr>
              <w:numPr>
                <w:ilvl w:val="0"/>
                <w:numId w:val="26"/>
              </w:numPr>
              <w:spacing w:before="60" w:after="60"/>
              <w:jc w:val="both"/>
              <w:rPr>
                <w:rFonts w:asciiTheme="majorHAnsi" w:hAnsiTheme="majorHAnsi"/>
                <w:b/>
              </w:rPr>
            </w:pPr>
            <w:r w:rsidRPr="005D0098">
              <w:rPr>
                <w:rFonts w:asciiTheme="majorHAnsi" w:hAnsiTheme="majorHAnsi"/>
                <w:b/>
              </w:rPr>
              <w:t>Aufhebung bisherigen Rechts</w:t>
            </w:r>
          </w:p>
          <w:p w:rsidR="0031471C" w:rsidRPr="005D0098" w:rsidRDefault="00CD001B" w:rsidP="005D0098">
            <w:pPr>
              <w:spacing w:before="60" w:after="60"/>
              <w:jc w:val="both"/>
              <w:rPr>
                <w:rFonts w:asciiTheme="majorHAnsi" w:hAnsiTheme="majorHAnsi"/>
              </w:rPr>
            </w:pPr>
            <w:r w:rsidRPr="005D0098">
              <w:rPr>
                <w:rFonts w:asciiTheme="majorHAnsi" w:hAnsiTheme="majorHAnsi"/>
              </w:rPr>
              <w:t xml:space="preserve">Mit Inkrafttreten dieses Reglements wird das Reglement über die Ausrichtung von Mietzinsbeiträgen vom </w:t>
            </w:r>
            <w:r w:rsidRPr="005D0098">
              <w:rPr>
                <w:rFonts w:asciiTheme="majorHAnsi" w:hAnsiTheme="majorHAnsi"/>
                <w:highlight w:val="lightGray"/>
              </w:rPr>
              <w:t>DATUM</w:t>
            </w:r>
            <w:r w:rsidRPr="005D0098">
              <w:rPr>
                <w:rFonts w:asciiTheme="majorHAnsi" w:hAnsiTheme="majorHAnsi"/>
              </w:rPr>
              <w:t xml:space="preserve"> aufgehoben.</w:t>
            </w:r>
          </w:p>
        </w:tc>
        <w:tc>
          <w:tcPr>
            <w:tcW w:w="7883" w:type="dxa"/>
          </w:tcPr>
          <w:p w:rsidR="0031471C" w:rsidRPr="00746E17" w:rsidRDefault="0031471C" w:rsidP="00DC3034">
            <w:pPr>
              <w:pStyle w:val="Default"/>
              <w:spacing w:before="60" w:after="60"/>
              <w:rPr>
                <w:rFonts w:asciiTheme="majorHAnsi" w:hAnsiTheme="majorHAnsi" w:cstheme="majorHAnsi"/>
                <w:iCs/>
                <w:sz w:val="22"/>
                <w:szCs w:val="22"/>
              </w:rPr>
            </w:pPr>
          </w:p>
          <w:p w:rsidR="00CD0838" w:rsidRPr="005D0098" w:rsidRDefault="00CD001B" w:rsidP="005D0098">
            <w:pPr>
              <w:pStyle w:val="Default"/>
              <w:spacing w:before="60" w:after="60"/>
              <w:rPr>
                <w:rFonts w:asciiTheme="majorHAnsi" w:hAnsiTheme="majorHAnsi"/>
                <w:sz w:val="22"/>
              </w:rPr>
            </w:pPr>
            <w:r w:rsidRPr="00746E17">
              <w:rPr>
                <w:rFonts w:asciiTheme="majorHAnsi" w:hAnsiTheme="majorHAnsi" w:cstheme="majorHAnsi"/>
                <w:iCs/>
                <w:sz w:val="22"/>
                <w:szCs w:val="22"/>
              </w:rPr>
              <w:t xml:space="preserve">Datum des aktuellen Reglements einfügen. </w:t>
            </w:r>
          </w:p>
        </w:tc>
      </w:tr>
      <w:tr w:rsidR="00830F9B" w:rsidTr="007B4680">
        <w:tc>
          <w:tcPr>
            <w:tcW w:w="7143" w:type="dxa"/>
          </w:tcPr>
          <w:p w:rsidR="0031471C" w:rsidRPr="005D0098" w:rsidRDefault="00CD001B" w:rsidP="0015301A">
            <w:pPr>
              <w:numPr>
                <w:ilvl w:val="0"/>
                <w:numId w:val="26"/>
              </w:numPr>
              <w:spacing w:before="60" w:after="60"/>
              <w:jc w:val="both"/>
              <w:rPr>
                <w:rFonts w:asciiTheme="majorHAnsi" w:hAnsiTheme="majorHAnsi"/>
                <w:b/>
              </w:rPr>
            </w:pPr>
            <w:r w:rsidRPr="005D0098">
              <w:rPr>
                <w:rFonts w:asciiTheme="majorHAnsi" w:hAnsiTheme="majorHAnsi"/>
                <w:b/>
              </w:rPr>
              <w:t>Inkrafttreten</w:t>
            </w:r>
          </w:p>
          <w:p w:rsidR="0031471C" w:rsidRPr="005D0098" w:rsidRDefault="00CD001B" w:rsidP="0015301A">
            <w:pPr>
              <w:spacing w:before="60" w:after="60"/>
              <w:jc w:val="both"/>
              <w:rPr>
                <w:rFonts w:asciiTheme="majorHAnsi" w:hAnsiTheme="majorHAnsi"/>
                <w:b/>
              </w:rPr>
            </w:pPr>
            <w:r w:rsidRPr="005D0098">
              <w:rPr>
                <w:rFonts w:asciiTheme="majorHAnsi" w:hAnsiTheme="majorHAnsi"/>
              </w:rPr>
              <w:t xml:space="preserve">Dieses Reglement tritt vorbehältlich der Genehmigung durch die Finanz- und Kirchendirektion des Kantons Basel-Landschaft am </w:t>
            </w:r>
            <w:r w:rsidRPr="005D0098">
              <w:rPr>
                <w:rFonts w:asciiTheme="majorHAnsi" w:hAnsiTheme="majorHAnsi"/>
                <w:highlight w:val="lightGray"/>
              </w:rPr>
              <w:t>DATUM</w:t>
            </w:r>
            <w:r w:rsidRPr="005D0098">
              <w:rPr>
                <w:rFonts w:asciiTheme="majorHAnsi" w:hAnsiTheme="majorHAnsi"/>
              </w:rPr>
              <w:t xml:space="preserve"> in Kraft.</w:t>
            </w:r>
          </w:p>
        </w:tc>
        <w:tc>
          <w:tcPr>
            <w:tcW w:w="7883" w:type="dxa"/>
          </w:tcPr>
          <w:p w:rsidR="00714C47" w:rsidRDefault="00714C47" w:rsidP="0015301A">
            <w:pPr>
              <w:pStyle w:val="Default"/>
              <w:spacing w:before="60" w:after="60"/>
              <w:rPr>
                <w:rFonts w:asciiTheme="majorHAnsi" w:hAnsiTheme="majorHAnsi"/>
                <w:sz w:val="22"/>
              </w:rPr>
            </w:pPr>
          </w:p>
          <w:p w:rsidR="0031471C" w:rsidRPr="005D0098" w:rsidRDefault="00CD001B" w:rsidP="0015301A">
            <w:pPr>
              <w:pStyle w:val="Default"/>
              <w:spacing w:before="60" w:after="60"/>
              <w:rPr>
                <w:rFonts w:asciiTheme="majorHAnsi" w:hAnsiTheme="majorHAnsi"/>
                <w:i/>
                <w:sz w:val="22"/>
              </w:rPr>
            </w:pPr>
            <w:r w:rsidRPr="005D0098">
              <w:rPr>
                <w:rFonts w:asciiTheme="majorHAnsi" w:hAnsiTheme="majorHAnsi"/>
                <w:sz w:val="22"/>
              </w:rPr>
              <w:t xml:space="preserve">Die Gemeinde definiert den Termin, an welchem das Reglement in Kraft tritt. Dies ist frühestens am 1.1.2024 möglich. Die Gemeinde kann das Reglement während einer Übergangszeit auch rückwirkend in Kraft setzen. Bedingung dafür ist, dass der </w:t>
            </w:r>
            <w:proofErr w:type="spellStart"/>
            <w:r w:rsidRPr="005D0098">
              <w:rPr>
                <w:rFonts w:asciiTheme="majorHAnsi" w:hAnsiTheme="majorHAnsi"/>
                <w:sz w:val="22"/>
              </w:rPr>
              <w:t>Reglementsbeschluss</w:t>
            </w:r>
            <w:proofErr w:type="spellEnd"/>
            <w:r w:rsidRPr="005D0098">
              <w:rPr>
                <w:rFonts w:asciiTheme="majorHAnsi" w:hAnsiTheme="majorHAnsi"/>
                <w:sz w:val="22"/>
              </w:rPr>
              <w:t xml:space="preserve"> durch das zuständige Gemeindeorgan per 30. Juni 2024 erfolgt ist (§ 8 </w:t>
            </w:r>
            <w:proofErr w:type="spellStart"/>
            <w:r w:rsidRPr="005D0098">
              <w:rPr>
                <w:rFonts w:asciiTheme="majorHAnsi" w:hAnsiTheme="majorHAnsi"/>
                <w:sz w:val="22"/>
              </w:rPr>
              <w:t>Vo</w:t>
            </w:r>
            <w:proofErr w:type="spellEnd"/>
            <w:r w:rsidRPr="005D0098">
              <w:rPr>
                <w:rFonts w:asciiTheme="majorHAnsi" w:hAnsiTheme="majorHAnsi"/>
                <w:sz w:val="22"/>
              </w:rPr>
              <w:t xml:space="preserve"> MBG).</w:t>
            </w:r>
          </w:p>
        </w:tc>
      </w:tr>
      <w:tr w:rsidR="00233E4A" w:rsidTr="007B4680">
        <w:tc>
          <w:tcPr>
            <w:tcW w:w="7143" w:type="dxa"/>
          </w:tcPr>
          <w:p w:rsidR="00233E4A" w:rsidRPr="00233E4A" w:rsidRDefault="00233E4A" w:rsidP="00233E4A">
            <w:pPr>
              <w:spacing w:after="120"/>
              <w:jc w:val="both"/>
            </w:pPr>
            <w:r w:rsidRPr="00F819BC">
              <w:t xml:space="preserve">Von der Gemeindeversammlung am </w:t>
            </w:r>
            <w:r w:rsidRPr="00F819BC">
              <w:rPr>
                <w:highlight w:val="lightGray"/>
              </w:rPr>
              <w:t>DATUM</w:t>
            </w:r>
            <w:r w:rsidRPr="00F819BC">
              <w:t xml:space="preserve"> beschlossen und </w:t>
            </w:r>
            <w:r w:rsidRPr="00BA7CA5">
              <w:t>von der Finanz- und Kirchendirektion des Kantons Basel-Landschaft</w:t>
            </w:r>
            <w:r w:rsidRPr="00F819BC">
              <w:t xml:space="preserve"> am </w:t>
            </w:r>
            <w:r w:rsidRPr="00F819BC">
              <w:rPr>
                <w:highlight w:val="lightGray"/>
              </w:rPr>
              <w:t>DATUM</w:t>
            </w:r>
            <w:r w:rsidRPr="00F819BC">
              <w:t xml:space="preserve"> genehmigt.</w:t>
            </w:r>
          </w:p>
        </w:tc>
        <w:tc>
          <w:tcPr>
            <w:tcW w:w="7883" w:type="dxa"/>
          </w:tcPr>
          <w:p w:rsidR="00233E4A" w:rsidRDefault="00233E4A" w:rsidP="007B4680">
            <w:pPr>
              <w:pStyle w:val="Default"/>
              <w:rPr>
                <w:sz w:val="22"/>
                <w:szCs w:val="22"/>
              </w:rPr>
            </w:pPr>
          </w:p>
        </w:tc>
      </w:tr>
    </w:tbl>
    <w:p w:rsidR="00A73D84" w:rsidRPr="00746E17" w:rsidRDefault="00A73D84" w:rsidP="005967DB">
      <w:pPr>
        <w:rPr>
          <w:rFonts w:asciiTheme="majorHAnsi" w:hAnsiTheme="majorHAnsi" w:cstheme="majorHAnsi"/>
        </w:rPr>
      </w:pPr>
    </w:p>
    <w:p w:rsidR="00933F0D" w:rsidRPr="005D0098" w:rsidRDefault="00652AAB" w:rsidP="005967DB">
      <w:pPr>
        <w:rPr>
          <w:rFonts w:asciiTheme="majorHAnsi" w:hAnsiTheme="majorHAnsi"/>
        </w:rPr>
      </w:pPr>
    </w:p>
    <w:p w:rsidR="00186C6D" w:rsidRDefault="005D0098" w:rsidP="00796606">
      <w:pPr>
        <w:pStyle w:val="Textkrper"/>
        <w:rPr>
          <w:rFonts w:asciiTheme="majorHAnsi" w:hAnsiTheme="majorHAnsi" w:cstheme="majorHAnsi"/>
        </w:rPr>
      </w:pPr>
      <w:r w:rsidRPr="00746E17">
        <w:rPr>
          <w:rFonts w:asciiTheme="majorHAnsi" w:hAnsiTheme="majorHAnsi" w:cstheme="majorHAnsi"/>
        </w:rPr>
        <w:t>Gemeindefachverband</w:t>
      </w:r>
      <w:r>
        <w:rPr>
          <w:rFonts w:asciiTheme="majorHAnsi" w:hAnsiTheme="majorHAnsi" w:cstheme="majorHAnsi"/>
        </w:rPr>
        <w:t>,</w:t>
      </w:r>
      <w:r w:rsidRPr="005D0098">
        <w:rPr>
          <w:rFonts w:asciiTheme="majorHAnsi" w:hAnsiTheme="majorHAnsi"/>
        </w:rPr>
        <w:t xml:space="preserve"> </w:t>
      </w:r>
      <w:r w:rsidR="00CD001B" w:rsidRPr="005D0098">
        <w:rPr>
          <w:rFonts w:asciiTheme="majorHAnsi" w:hAnsiTheme="majorHAnsi"/>
        </w:rPr>
        <w:t>Kantonales Sozialamt,</w:t>
      </w:r>
      <w:r>
        <w:rPr>
          <w:rFonts w:asciiTheme="majorHAnsi" w:hAnsiTheme="majorHAnsi"/>
        </w:rPr>
        <w:t xml:space="preserve"> Verband Basel-Landschaftlicher Gemeinden</w:t>
      </w:r>
      <w:r w:rsidR="00714C47">
        <w:rPr>
          <w:rFonts w:asciiTheme="majorHAnsi" w:hAnsiTheme="majorHAnsi"/>
        </w:rPr>
        <w:t xml:space="preserve"> </w:t>
      </w:r>
      <w:r>
        <w:rPr>
          <w:rFonts w:asciiTheme="majorHAnsi" w:hAnsiTheme="majorHAnsi"/>
        </w:rPr>
        <w:t>/ 22</w:t>
      </w:r>
      <w:r w:rsidR="00CD001B" w:rsidRPr="00746E17">
        <w:rPr>
          <w:rFonts w:asciiTheme="majorHAnsi" w:hAnsiTheme="majorHAnsi" w:cstheme="majorHAnsi"/>
        </w:rPr>
        <w:t>. Juni 2023</w:t>
      </w:r>
    </w:p>
    <w:p w:rsidR="00A97B10" w:rsidRDefault="00652AAB" w:rsidP="00796606">
      <w:pPr>
        <w:pStyle w:val="Textkrper"/>
        <w:rPr>
          <w:rFonts w:asciiTheme="majorHAnsi" w:hAnsiTheme="majorHAnsi" w:cstheme="majorHAnsi"/>
        </w:rPr>
      </w:pPr>
    </w:p>
    <w:p w:rsidR="00EB2617" w:rsidRDefault="00CD001B">
      <w:pPr>
        <w:rPr>
          <w:rFonts w:asciiTheme="majorHAnsi" w:hAnsiTheme="majorHAnsi" w:cstheme="majorHAnsi"/>
        </w:rPr>
        <w:sectPr w:rsidR="00EB2617" w:rsidSect="00675924">
          <w:headerReference w:type="even" r:id="rId13"/>
          <w:headerReference w:type="default" r:id="rId14"/>
          <w:footerReference w:type="default" r:id="rId15"/>
          <w:headerReference w:type="first" r:id="rId16"/>
          <w:type w:val="continuous"/>
          <w:pgSz w:w="16840" w:h="11900" w:orient="landscape" w:code="9"/>
          <w:pgMar w:top="1418" w:right="851" w:bottom="851" w:left="851" w:header="397" w:footer="397" w:gutter="0"/>
          <w:cols w:space="708"/>
          <w:formProt w:val="0"/>
          <w:titlePg/>
          <w:docGrid w:linePitch="360"/>
        </w:sectPr>
      </w:pPr>
      <w:r>
        <w:rPr>
          <w:rFonts w:asciiTheme="majorHAnsi" w:hAnsiTheme="majorHAnsi" w:cstheme="majorHAnsi"/>
        </w:rPr>
        <w:br w:type="page"/>
      </w:r>
    </w:p>
    <w:p w:rsidR="00A97B10" w:rsidRDefault="00CD001B" w:rsidP="00EB2617">
      <w:pPr>
        <w:pStyle w:val="Textkrper"/>
        <w:spacing w:after="0"/>
        <w:rPr>
          <w:rFonts w:asciiTheme="majorHAnsi" w:hAnsiTheme="majorHAnsi" w:cstheme="majorHAnsi"/>
          <w:b/>
        </w:rPr>
      </w:pPr>
      <w:r w:rsidRPr="00BA0C02">
        <w:rPr>
          <w:rFonts w:asciiTheme="majorHAnsi" w:hAnsiTheme="majorHAnsi" w:cstheme="majorHAnsi"/>
          <w:b/>
        </w:rPr>
        <w:lastRenderedPageBreak/>
        <w:t xml:space="preserve">Anhang </w:t>
      </w:r>
      <w:r>
        <w:rPr>
          <w:rFonts w:asciiTheme="majorHAnsi" w:hAnsiTheme="majorHAnsi" w:cstheme="majorHAnsi"/>
          <w:b/>
        </w:rPr>
        <w:t>–</w:t>
      </w:r>
      <w:r w:rsidRPr="00BA0C02">
        <w:rPr>
          <w:rFonts w:asciiTheme="majorHAnsi" w:hAnsiTheme="majorHAnsi" w:cstheme="majorHAnsi"/>
          <w:b/>
        </w:rPr>
        <w:t xml:space="preserve"> Berechnungsbeispiele</w:t>
      </w:r>
    </w:p>
    <w:p w:rsidR="00EB2617" w:rsidRDefault="00652AAB" w:rsidP="00EB2617">
      <w:pPr>
        <w:pStyle w:val="Textkrper"/>
        <w:spacing w:after="0"/>
        <w:rPr>
          <w:rFonts w:asciiTheme="majorHAnsi" w:hAnsiTheme="majorHAnsi" w:cstheme="majorHAnsi"/>
          <w:b/>
        </w:rPr>
      </w:pPr>
    </w:p>
    <w:p w:rsidR="00F83371" w:rsidRDefault="00652AAB" w:rsidP="00EB2617">
      <w:pPr>
        <w:pStyle w:val="Textkrper"/>
        <w:spacing w:after="0"/>
        <w:rPr>
          <w:rFonts w:asciiTheme="majorHAnsi" w:hAnsiTheme="majorHAnsi" w:cstheme="majorHAnsi"/>
          <w:b/>
        </w:rPr>
      </w:pPr>
    </w:p>
    <w:p w:rsidR="00EB2617" w:rsidRPr="00EB2617" w:rsidRDefault="00CD001B" w:rsidP="00F83371">
      <w:pPr>
        <w:pStyle w:val="berschrift1"/>
        <w:numPr>
          <w:ilvl w:val="0"/>
          <w:numId w:val="0"/>
        </w:numPr>
        <w:spacing w:before="0" w:after="0"/>
        <w:rPr>
          <w:rFonts w:asciiTheme="majorHAnsi" w:hAnsiTheme="majorHAnsi" w:cstheme="majorHAnsi"/>
        </w:rPr>
      </w:pPr>
      <w:r w:rsidRPr="00EB2617">
        <w:rPr>
          <w:rFonts w:asciiTheme="majorHAnsi" w:hAnsiTheme="majorHAnsi" w:cstheme="majorHAnsi"/>
        </w:rPr>
        <w:t>Beispiel 1: Alleinerziehende Mutter mit einem Kind</w:t>
      </w:r>
    </w:p>
    <w:p w:rsidR="00EB2617" w:rsidRPr="00EB2617" w:rsidRDefault="00652AAB" w:rsidP="00EB2617">
      <w:pPr>
        <w:pStyle w:val="Textkrper"/>
        <w:spacing w:after="0"/>
        <w:rPr>
          <w:rFonts w:asciiTheme="majorHAnsi" w:hAnsiTheme="majorHAnsi" w:cstheme="majorHAnsi"/>
          <w:b/>
        </w:rPr>
      </w:pPr>
    </w:p>
    <w:p w:rsidR="00EB2617" w:rsidRPr="00EB2617" w:rsidRDefault="00CD001B" w:rsidP="00EB2617">
      <w:pPr>
        <w:pStyle w:val="Listenabsatz"/>
        <w:widowControl w:val="0"/>
        <w:numPr>
          <w:ilvl w:val="0"/>
          <w:numId w:val="36"/>
        </w:numPr>
        <w:tabs>
          <w:tab w:val="left" w:pos="832"/>
          <w:tab w:val="left" w:pos="833"/>
        </w:tabs>
        <w:autoSpaceDE w:val="0"/>
        <w:autoSpaceDN w:val="0"/>
        <w:ind w:left="426" w:hanging="426"/>
        <w:contextualSpacing w:val="0"/>
        <w:jc w:val="both"/>
        <w:rPr>
          <w:rFonts w:asciiTheme="majorHAnsi" w:hAnsiTheme="majorHAnsi" w:cstheme="majorHAnsi"/>
        </w:rPr>
      </w:pPr>
      <w:r w:rsidRPr="00EB2617">
        <w:rPr>
          <w:rFonts w:asciiTheme="majorHAnsi" w:hAnsiTheme="majorHAnsi" w:cstheme="majorHAnsi"/>
        </w:rPr>
        <w:t>Jahresnettoeinkommen</w:t>
      </w:r>
      <w:r>
        <w:rPr>
          <w:rFonts w:asciiTheme="majorHAnsi" w:hAnsiTheme="majorHAnsi" w:cstheme="majorHAnsi"/>
        </w:rPr>
        <w:t xml:space="preserve">: </w:t>
      </w:r>
      <w:r w:rsidRPr="00EB2617">
        <w:rPr>
          <w:rFonts w:asciiTheme="majorHAnsi" w:hAnsiTheme="majorHAnsi" w:cstheme="majorHAnsi"/>
        </w:rPr>
        <w:t>CHF</w:t>
      </w:r>
      <w:r w:rsidRPr="00EB2617">
        <w:rPr>
          <w:rFonts w:asciiTheme="majorHAnsi" w:hAnsiTheme="majorHAnsi" w:cstheme="majorHAnsi"/>
          <w:spacing w:val="-23"/>
        </w:rPr>
        <w:t xml:space="preserve"> </w:t>
      </w:r>
      <w:r w:rsidRPr="00EB2617">
        <w:rPr>
          <w:rFonts w:asciiTheme="majorHAnsi" w:hAnsiTheme="majorHAnsi" w:cstheme="majorHAnsi"/>
        </w:rPr>
        <w:t>4</w:t>
      </w:r>
      <w:r w:rsidR="00912AE2">
        <w:rPr>
          <w:rFonts w:asciiTheme="majorHAnsi" w:hAnsiTheme="majorHAnsi" w:cstheme="majorHAnsi"/>
        </w:rPr>
        <w:t>5</w:t>
      </w:r>
      <w:r w:rsidRPr="00EB2617">
        <w:rPr>
          <w:rFonts w:asciiTheme="majorHAnsi" w:hAnsiTheme="majorHAnsi" w:cstheme="majorHAnsi"/>
        </w:rPr>
        <w:t>'000.–</w:t>
      </w:r>
    </w:p>
    <w:p w:rsidR="00EB2617" w:rsidRPr="00EB2617" w:rsidRDefault="00CD001B" w:rsidP="00EB2617">
      <w:pPr>
        <w:pStyle w:val="Listenabsatz"/>
        <w:widowControl w:val="0"/>
        <w:numPr>
          <w:ilvl w:val="0"/>
          <w:numId w:val="36"/>
        </w:numPr>
        <w:tabs>
          <w:tab w:val="left" w:pos="832"/>
          <w:tab w:val="left" w:pos="833"/>
        </w:tabs>
        <w:autoSpaceDE w:val="0"/>
        <w:autoSpaceDN w:val="0"/>
        <w:ind w:left="426" w:right="-8" w:hanging="426"/>
        <w:contextualSpacing w:val="0"/>
        <w:jc w:val="both"/>
        <w:rPr>
          <w:rFonts w:asciiTheme="majorHAnsi" w:hAnsiTheme="majorHAnsi" w:cstheme="majorHAnsi"/>
        </w:rPr>
      </w:pPr>
      <w:r w:rsidRPr="00EB2617">
        <w:rPr>
          <w:rFonts w:asciiTheme="majorHAnsi" w:hAnsiTheme="majorHAnsi" w:cstheme="majorHAnsi"/>
        </w:rPr>
        <w:t>Jahresnettomiete</w:t>
      </w:r>
      <w:r>
        <w:rPr>
          <w:rFonts w:asciiTheme="majorHAnsi" w:hAnsiTheme="majorHAnsi" w:cstheme="majorHAnsi"/>
        </w:rPr>
        <w:t xml:space="preserve">: </w:t>
      </w:r>
      <w:r w:rsidRPr="00EB2617">
        <w:rPr>
          <w:rFonts w:asciiTheme="majorHAnsi" w:hAnsiTheme="majorHAnsi" w:cstheme="majorHAnsi"/>
        </w:rPr>
        <w:t>CHF 13'800.– zuzüglich Nebenkosten von CHF 2'760.–, Total von CHF 16'560.–</w:t>
      </w:r>
    </w:p>
    <w:p w:rsidR="00EB2617" w:rsidRPr="00EB2617" w:rsidRDefault="00CD001B" w:rsidP="00EB2617">
      <w:pPr>
        <w:pStyle w:val="Listenabsatz"/>
        <w:widowControl w:val="0"/>
        <w:numPr>
          <w:ilvl w:val="0"/>
          <w:numId w:val="36"/>
        </w:numPr>
        <w:tabs>
          <w:tab w:val="left" w:pos="832"/>
          <w:tab w:val="left" w:pos="833"/>
        </w:tabs>
        <w:autoSpaceDE w:val="0"/>
        <w:autoSpaceDN w:val="0"/>
        <w:ind w:left="426" w:right="-8" w:hanging="426"/>
        <w:contextualSpacing w:val="0"/>
        <w:jc w:val="both"/>
        <w:rPr>
          <w:rFonts w:asciiTheme="majorHAnsi" w:hAnsiTheme="majorHAnsi" w:cstheme="majorHAnsi"/>
        </w:rPr>
      </w:pPr>
      <w:r w:rsidRPr="00EB2617">
        <w:rPr>
          <w:rFonts w:asciiTheme="majorHAnsi" w:hAnsiTheme="majorHAnsi" w:cstheme="majorHAnsi"/>
        </w:rPr>
        <w:t>angemessene Jahresnettomiete</w:t>
      </w:r>
      <w:r>
        <w:rPr>
          <w:rFonts w:asciiTheme="majorHAnsi" w:hAnsiTheme="majorHAnsi" w:cstheme="majorHAnsi"/>
        </w:rPr>
        <w:t xml:space="preserve"> (Mietzinsgrenzwert der Gemeinde): </w:t>
      </w:r>
      <w:r w:rsidRPr="00EB2617">
        <w:rPr>
          <w:rFonts w:asciiTheme="majorHAnsi" w:hAnsiTheme="majorHAnsi" w:cstheme="majorHAnsi"/>
        </w:rPr>
        <w:t>jährlich CHF 14'400.– zuzüglich 20 % Nebenkosten von CHF 2'880.–, Total von CHF 17'280.–</w:t>
      </w:r>
      <w:r>
        <w:rPr>
          <w:rFonts w:asciiTheme="majorHAnsi" w:hAnsiTheme="majorHAnsi" w:cstheme="majorHAnsi"/>
        </w:rPr>
        <w:t xml:space="preserve"> </w:t>
      </w:r>
      <w:r>
        <w:rPr>
          <w:rFonts w:ascii="Wingdings" w:hAnsi="Wingdings" w:cstheme="majorHAnsi"/>
        </w:rPr>
        <w:sym w:font="Wingdings" w:char="F0E8"/>
      </w:r>
      <w:r>
        <w:rPr>
          <w:rFonts w:asciiTheme="majorHAnsi" w:hAnsiTheme="majorHAnsi" w:cstheme="majorHAnsi"/>
        </w:rPr>
        <w:t xml:space="preserve"> </w:t>
      </w:r>
      <w:r w:rsidRPr="00EB2617">
        <w:rPr>
          <w:rFonts w:asciiTheme="majorHAnsi" w:hAnsiTheme="majorHAnsi" w:cstheme="majorHAnsi"/>
        </w:rPr>
        <w:t>Jahresnettomiete zuzüglich Nebenkosten liegt unter der angemessenen Jahresnettomiete.</w:t>
      </w:r>
    </w:p>
    <w:p w:rsidR="00EB2617" w:rsidRPr="00EB2617" w:rsidRDefault="00CD001B" w:rsidP="00EB2617">
      <w:pPr>
        <w:pStyle w:val="Listenabsatz"/>
        <w:widowControl w:val="0"/>
        <w:numPr>
          <w:ilvl w:val="0"/>
          <w:numId w:val="36"/>
        </w:numPr>
        <w:tabs>
          <w:tab w:val="left" w:pos="832"/>
          <w:tab w:val="left" w:pos="833"/>
        </w:tabs>
        <w:autoSpaceDE w:val="0"/>
        <w:autoSpaceDN w:val="0"/>
        <w:spacing w:before="3"/>
        <w:ind w:left="426" w:right="-8" w:hanging="426"/>
        <w:contextualSpacing w:val="0"/>
        <w:jc w:val="both"/>
        <w:rPr>
          <w:rFonts w:asciiTheme="majorHAnsi" w:hAnsiTheme="majorHAnsi" w:cstheme="majorHAnsi"/>
        </w:rPr>
      </w:pPr>
      <w:r>
        <w:rPr>
          <w:rFonts w:asciiTheme="majorHAnsi" w:hAnsiTheme="majorHAnsi" w:cstheme="majorHAnsi"/>
        </w:rPr>
        <w:t xml:space="preserve">Effektive Kosten für </w:t>
      </w:r>
      <w:r w:rsidRPr="00EB2617">
        <w:rPr>
          <w:rFonts w:asciiTheme="majorHAnsi" w:hAnsiTheme="majorHAnsi" w:cstheme="majorHAnsi"/>
        </w:rPr>
        <w:t xml:space="preserve">zwei </w:t>
      </w:r>
      <w:r>
        <w:rPr>
          <w:rFonts w:asciiTheme="majorHAnsi" w:hAnsiTheme="majorHAnsi" w:cstheme="majorHAnsi"/>
        </w:rPr>
        <w:t>Kita-</w:t>
      </w:r>
      <w:r w:rsidRPr="00EB2617">
        <w:rPr>
          <w:rFonts w:asciiTheme="majorHAnsi" w:hAnsiTheme="majorHAnsi" w:cstheme="majorHAnsi"/>
        </w:rPr>
        <w:t>Nachmittage pro Woche</w:t>
      </w:r>
      <w:r>
        <w:rPr>
          <w:rFonts w:asciiTheme="majorHAnsi" w:hAnsiTheme="majorHAnsi" w:cstheme="majorHAnsi"/>
        </w:rPr>
        <w:t xml:space="preserve">: </w:t>
      </w:r>
      <w:r w:rsidRPr="00EB2617">
        <w:rPr>
          <w:rFonts w:asciiTheme="majorHAnsi" w:hAnsiTheme="majorHAnsi" w:cstheme="majorHAnsi"/>
        </w:rPr>
        <w:t>jährlich CHF</w:t>
      </w:r>
      <w:r w:rsidRPr="00EB2617">
        <w:rPr>
          <w:rFonts w:asciiTheme="majorHAnsi" w:hAnsiTheme="majorHAnsi" w:cstheme="majorHAnsi"/>
          <w:spacing w:val="1"/>
        </w:rPr>
        <w:t xml:space="preserve"> </w:t>
      </w:r>
      <w:r w:rsidRPr="00EB2617">
        <w:rPr>
          <w:rFonts w:asciiTheme="majorHAnsi" w:hAnsiTheme="majorHAnsi" w:cstheme="majorHAnsi"/>
        </w:rPr>
        <w:t>4'000.–.</w:t>
      </w:r>
    </w:p>
    <w:p w:rsidR="00112593" w:rsidRDefault="00CD001B" w:rsidP="00EB2617">
      <w:pPr>
        <w:pStyle w:val="Listenabsatz"/>
        <w:widowControl w:val="0"/>
        <w:numPr>
          <w:ilvl w:val="0"/>
          <w:numId w:val="36"/>
        </w:numPr>
        <w:tabs>
          <w:tab w:val="left" w:pos="832"/>
          <w:tab w:val="left" w:pos="833"/>
        </w:tabs>
        <w:autoSpaceDE w:val="0"/>
        <w:autoSpaceDN w:val="0"/>
        <w:spacing w:before="14" w:line="254" w:lineRule="exact"/>
        <w:ind w:left="426" w:right="-8" w:hanging="426"/>
        <w:contextualSpacing w:val="0"/>
        <w:jc w:val="both"/>
        <w:rPr>
          <w:rFonts w:asciiTheme="majorHAnsi" w:hAnsiTheme="majorHAnsi" w:cstheme="majorHAnsi"/>
        </w:rPr>
      </w:pPr>
      <w:r w:rsidRPr="00EB2617">
        <w:rPr>
          <w:rFonts w:asciiTheme="majorHAnsi" w:hAnsiTheme="majorHAnsi" w:cstheme="majorHAnsi"/>
        </w:rPr>
        <w:t>Krankenkassenprämien</w:t>
      </w:r>
      <w:r>
        <w:rPr>
          <w:rFonts w:asciiTheme="majorHAnsi" w:hAnsiTheme="majorHAnsi" w:cstheme="majorHAnsi"/>
        </w:rPr>
        <w:t>:</w:t>
      </w:r>
      <w:r w:rsidRPr="00EB2617">
        <w:rPr>
          <w:rFonts w:asciiTheme="majorHAnsi" w:hAnsiTheme="majorHAnsi" w:cstheme="majorHAnsi"/>
        </w:rPr>
        <w:t xml:space="preserve"> für Mutter und Kind jährlich </w:t>
      </w:r>
      <w:r w:rsidRPr="00EB2617">
        <w:rPr>
          <w:rFonts w:asciiTheme="majorHAnsi" w:hAnsiTheme="majorHAnsi" w:cstheme="majorHAnsi"/>
          <w:spacing w:val="-3"/>
        </w:rPr>
        <w:t xml:space="preserve">CHF </w:t>
      </w:r>
      <w:r w:rsidRPr="00EB2617">
        <w:rPr>
          <w:rFonts w:asciiTheme="majorHAnsi" w:hAnsiTheme="majorHAnsi" w:cstheme="majorHAnsi"/>
        </w:rPr>
        <w:t>8'628.– (= CHF 6’960.- + CHF</w:t>
      </w:r>
      <w:r w:rsidRPr="00EB2617">
        <w:rPr>
          <w:rFonts w:asciiTheme="majorHAnsi" w:hAnsiTheme="majorHAnsi" w:cstheme="majorHAnsi"/>
          <w:spacing w:val="-22"/>
        </w:rPr>
        <w:t xml:space="preserve"> </w:t>
      </w:r>
      <w:r w:rsidRPr="00EB2617">
        <w:rPr>
          <w:rFonts w:asciiTheme="majorHAnsi" w:hAnsiTheme="majorHAnsi" w:cstheme="majorHAnsi"/>
        </w:rPr>
        <w:t xml:space="preserve">1’668.-). </w:t>
      </w:r>
    </w:p>
    <w:p w:rsidR="00EB2617" w:rsidRPr="00EB2617" w:rsidRDefault="00CD001B" w:rsidP="00112593">
      <w:pPr>
        <w:pStyle w:val="Listenabsatz"/>
        <w:widowControl w:val="0"/>
        <w:tabs>
          <w:tab w:val="left" w:pos="832"/>
          <w:tab w:val="left" w:pos="833"/>
        </w:tabs>
        <w:autoSpaceDE w:val="0"/>
        <w:autoSpaceDN w:val="0"/>
        <w:spacing w:before="14" w:line="254" w:lineRule="exact"/>
        <w:ind w:left="426" w:right="-8"/>
        <w:contextualSpacing w:val="0"/>
        <w:jc w:val="both"/>
        <w:rPr>
          <w:rFonts w:asciiTheme="majorHAnsi" w:hAnsiTheme="majorHAnsi" w:cstheme="majorHAnsi"/>
        </w:rPr>
      </w:pPr>
      <w:r w:rsidRPr="00EB2617">
        <w:rPr>
          <w:rFonts w:asciiTheme="majorHAnsi" w:hAnsiTheme="majorHAnsi" w:cstheme="majorHAnsi"/>
        </w:rPr>
        <w:t>Prämienverbilligung</w:t>
      </w:r>
      <w:r>
        <w:rPr>
          <w:rFonts w:asciiTheme="majorHAnsi" w:hAnsiTheme="majorHAnsi" w:cstheme="majorHAnsi"/>
        </w:rPr>
        <w:t xml:space="preserve">: </w:t>
      </w:r>
      <w:r w:rsidRPr="00EB2617">
        <w:rPr>
          <w:rFonts w:asciiTheme="majorHAnsi" w:hAnsiTheme="majorHAnsi" w:cstheme="majorHAnsi"/>
        </w:rPr>
        <w:t>CHF 2’651.–</w:t>
      </w:r>
      <w:r>
        <w:rPr>
          <w:rFonts w:asciiTheme="majorHAnsi" w:hAnsiTheme="majorHAnsi" w:cstheme="majorHAnsi"/>
        </w:rPr>
        <w:t xml:space="preserve"> </w:t>
      </w:r>
      <w:r>
        <w:rPr>
          <w:rFonts w:ascii="Wingdings" w:hAnsi="Wingdings" w:cstheme="majorHAnsi"/>
        </w:rPr>
        <w:sym w:font="Wingdings" w:char="F0E8"/>
      </w:r>
      <w:r>
        <w:rPr>
          <w:rFonts w:asciiTheme="majorHAnsi" w:hAnsiTheme="majorHAnsi" w:cstheme="majorHAnsi"/>
        </w:rPr>
        <w:t xml:space="preserve"> </w:t>
      </w:r>
      <w:r w:rsidRPr="00EB2617">
        <w:rPr>
          <w:rFonts w:asciiTheme="majorHAnsi" w:hAnsiTheme="majorHAnsi" w:cstheme="majorHAnsi"/>
        </w:rPr>
        <w:t>effektive Krankenkassenprämien von CHF 5’977.–</w:t>
      </w:r>
    </w:p>
    <w:p w:rsidR="00EB2617" w:rsidRPr="00EB2617" w:rsidRDefault="00CD001B" w:rsidP="00EB2617">
      <w:pPr>
        <w:pStyle w:val="Listenabsatz"/>
        <w:widowControl w:val="0"/>
        <w:numPr>
          <w:ilvl w:val="0"/>
          <w:numId w:val="36"/>
        </w:numPr>
        <w:tabs>
          <w:tab w:val="left" w:pos="832"/>
          <w:tab w:val="left" w:pos="833"/>
        </w:tabs>
        <w:autoSpaceDE w:val="0"/>
        <w:autoSpaceDN w:val="0"/>
        <w:spacing w:line="261" w:lineRule="exact"/>
        <w:ind w:left="426" w:right="-8" w:hanging="426"/>
        <w:contextualSpacing w:val="0"/>
        <w:jc w:val="both"/>
        <w:rPr>
          <w:rFonts w:asciiTheme="majorHAnsi" w:hAnsiTheme="majorHAnsi" w:cstheme="majorHAnsi"/>
        </w:rPr>
      </w:pPr>
      <w:r w:rsidRPr="00EB2617">
        <w:rPr>
          <w:rFonts w:asciiTheme="majorHAnsi" w:hAnsiTheme="majorHAnsi" w:cstheme="majorHAnsi"/>
        </w:rPr>
        <w:t>Vermögen der Unterstützungseinheit</w:t>
      </w:r>
      <w:r>
        <w:rPr>
          <w:rFonts w:asciiTheme="majorHAnsi" w:hAnsiTheme="majorHAnsi" w:cstheme="majorHAnsi"/>
        </w:rPr>
        <w:t xml:space="preserve">: </w:t>
      </w:r>
      <w:r w:rsidRPr="00EB2617">
        <w:rPr>
          <w:rFonts w:asciiTheme="majorHAnsi" w:hAnsiTheme="majorHAnsi" w:cstheme="majorHAnsi"/>
        </w:rPr>
        <w:t>CHF</w:t>
      </w:r>
      <w:r w:rsidRPr="00EB2617">
        <w:rPr>
          <w:rFonts w:asciiTheme="majorHAnsi" w:hAnsiTheme="majorHAnsi" w:cstheme="majorHAnsi"/>
          <w:spacing w:val="-23"/>
        </w:rPr>
        <w:t xml:space="preserve"> </w:t>
      </w:r>
      <w:r w:rsidRPr="00EB2617">
        <w:rPr>
          <w:rFonts w:asciiTheme="majorHAnsi" w:hAnsiTheme="majorHAnsi" w:cstheme="majorHAnsi"/>
        </w:rPr>
        <w:t>12'000.–.</w:t>
      </w:r>
    </w:p>
    <w:p w:rsidR="00EB2617" w:rsidRPr="00EB2617" w:rsidRDefault="00CD001B" w:rsidP="00EB2617">
      <w:pPr>
        <w:pStyle w:val="Listenabsatz"/>
        <w:widowControl w:val="0"/>
        <w:numPr>
          <w:ilvl w:val="0"/>
          <w:numId w:val="36"/>
        </w:numPr>
        <w:tabs>
          <w:tab w:val="left" w:pos="832"/>
          <w:tab w:val="left" w:pos="833"/>
        </w:tabs>
        <w:autoSpaceDE w:val="0"/>
        <w:autoSpaceDN w:val="0"/>
        <w:ind w:left="426" w:right="-8" w:hanging="426"/>
        <w:contextualSpacing w:val="0"/>
        <w:jc w:val="both"/>
        <w:rPr>
          <w:rFonts w:asciiTheme="majorHAnsi" w:hAnsiTheme="majorHAnsi" w:cstheme="majorHAnsi"/>
        </w:rPr>
      </w:pPr>
      <w:r w:rsidRPr="00EB2617">
        <w:rPr>
          <w:rFonts w:asciiTheme="majorHAnsi" w:hAnsiTheme="majorHAnsi" w:cstheme="majorHAnsi"/>
        </w:rPr>
        <w:t>sozialhilferechtliche</w:t>
      </w:r>
      <w:r>
        <w:rPr>
          <w:rFonts w:asciiTheme="majorHAnsi" w:hAnsiTheme="majorHAnsi" w:cstheme="majorHAnsi"/>
        </w:rPr>
        <w:t>r</w:t>
      </w:r>
      <w:r w:rsidRPr="00EB2617">
        <w:rPr>
          <w:rFonts w:asciiTheme="majorHAnsi" w:hAnsiTheme="majorHAnsi" w:cstheme="majorHAnsi"/>
        </w:rPr>
        <w:t xml:space="preserve"> Grundbedarf gemäss </w:t>
      </w:r>
      <w:r>
        <w:rPr>
          <w:rFonts w:asciiTheme="majorHAnsi" w:hAnsiTheme="majorHAnsi" w:cstheme="majorHAnsi"/>
        </w:rPr>
        <w:t xml:space="preserve">§ </w:t>
      </w:r>
      <w:r w:rsidRPr="00EB2617">
        <w:rPr>
          <w:rFonts w:asciiTheme="majorHAnsi" w:hAnsiTheme="majorHAnsi" w:cstheme="majorHAnsi"/>
        </w:rPr>
        <w:t>9 Abs. 1 SHV</w:t>
      </w:r>
      <w:r>
        <w:rPr>
          <w:rFonts w:asciiTheme="majorHAnsi" w:hAnsiTheme="majorHAnsi" w:cstheme="majorHAnsi"/>
        </w:rPr>
        <w:t xml:space="preserve">: </w:t>
      </w:r>
      <w:r w:rsidRPr="00EB2617">
        <w:rPr>
          <w:rFonts w:asciiTheme="majorHAnsi" w:hAnsiTheme="majorHAnsi" w:cstheme="majorHAnsi"/>
        </w:rPr>
        <w:t>CHF 18'924.- (= CHF 1'577.- *</w:t>
      </w:r>
      <w:r w:rsidRPr="00EB2617">
        <w:rPr>
          <w:rFonts w:asciiTheme="majorHAnsi" w:hAnsiTheme="majorHAnsi" w:cstheme="majorHAnsi"/>
          <w:spacing w:val="-35"/>
        </w:rPr>
        <w:t xml:space="preserve"> </w:t>
      </w:r>
      <w:r w:rsidRPr="00EB2617">
        <w:rPr>
          <w:rFonts w:asciiTheme="majorHAnsi" w:hAnsiTheme="majorHAnsi" w:cstheme="majorHAnsi"/>
        </w:rPr>
        <w:t>12)</w:t>
      </w:r>
    </w:p>
    <w:p w:rsidR="00EB2617" w:rsidRPr="00EB2617" w:rsidRDefault="00CD001B" w:rsidP="00EB2617">
      <w:pPr>
        <w:pStyle w:val="Listenabsatz"/>
        <w:widowControl w:val="0"/>
        <w:numPr>
          <w:ilvl w:val="0"/>
          <w:numId w:val="36"/>
        </w:numPr>
        <w:tabs>
          <w:tab w:val="left" w:pos="832"/>
          <w:tab w:val="left" w:pos="833"/>
        </w:tabs>
        <w:autoSpaceDE w:val="0"/>
        <w:autoSpaceDN w:val="0"/>
        <w:spacing w:before="1"/>
        <w:ind w:left="426" w:right="-8" w:hanging="426"/>
        <w:contextualSpacing w:val="0"/>
        <w:jc w:val="both"/>
        <w:rPr>
          <w:rFonts w:asciiTheme="majorHAnsi" w:hAnsiTheme="majorHAnsi" w:cstheme="majorHAnsi"/>
        </w:rPr>
      </w:pPr>
      <w:r w:rsidRPr="00EB2617">
        <w:rPr>
          <w:rFonts w:asciiTheme="majorHAnsi" w:hAnsiTheme="majorHAnsi" w:cstheme="majorHAnsi"/>
        </w:rPr>
        <w:t xml:space="preserve">freie Vermögensbeträge gemäss </w:t>
      </w:r>
      <w:r w:rsidRPr="00EB2617">
        <w:rPr>
          <w:rFonts w:asciiTheme="majorHAnsi" w:hAnsiTheme="majorHAnsi" w:cstheme="majorHAnsi"/>
          <w:spacing w:val="-4"/>
        </w:rPr>
        <w:t xml:space="preserve">§ </w:t>
      </w:r>
      <w:r w:rsidRPr="00EB2617">
        <w:rPr>
          <w:rFonts w:asciiTheme="majorHAnsi" w:hAnsiTheme="majorHAnsi" w:cstheme="majorHAnsi"/>
        </w:rPr>
        <w:t>16 Abs. 2 SHV für Mutter und Kind</w:t>
      </w:r>
      <w:r>
        <w:rPr>
          <w:rFonts w:asciiTheme="majorHAnsi" w:hAnsiTheme="majorHAnsi" w:cstheme="majorHAnsi"/>
        </w:rPr>
        <w:t>:</w:t>
      </w:r>
      <w:r w:rsidRPr="00EB2617">
        <w:rPr>
          <w:rFonts w:asciiTheme="majorHAnsi" w:hAnsiTheme="majorHAnsi" w:cstheme="majorHAnsi"/>
        </w:rPr>
        <w:t xml:space="preserve"> </w:t>
      </w:r>
      <w:r w:rsidRPr="00EB2617">
        <w:rPr>
          <w:rFonts w:asciiTheme="majorHAnsi" w:hAnsiTheme="majorHAnsi" w:cstheme="majorHAnsi"/>
          <w:spacing w:val="-3"/>
        </w:rPr>
        <w:t>CHF</w:t>
      </w:r>
      <w:r w:rsidRPr="00EB2617">
        <w:rPr>
          <w:rFonts w:asciiTheme="majorHAnsi" w:hAnsiTheme="majorHAnsi" w:cstheme="majorHAnsi"/>
          <w:spacing w:val="-19"/>
        </w:rPr>
        <w:t xml:space="preserve"> </w:t>
      </w:r>
      <w:r w:rsidRPr="00EB2617">
        <w:rPr>
          <w:rFonts w:asciiTheme="majorHAnsi" w:hAnsiTheme="majorHAnsi" w:cstheme="majorHAnsi"/>
        </w:rPr>
        <w:t>3'400.-</w:t>
      </w:r>
    </w:p>
    <w:p w:rsidR="00EB2617" w:rsidRPr="00EB2617" w:rsidRDefault="00652AAB" w:rsidP="00EB2617">
      <w:pPr>
        <w:pStyle w:val="Textkrper"/>
        <w:spacing w:before="9" w:after="1"/>
        <w:rPr>
          <w:rFonts w:asciiTheme="majorHAnsi" w:hAnsiTheme="majorHAnsi" w:cstheme="majorHAnsi"/>
        </w:rPr>
      </w:pPr>
    </w:p>
    <w:p w:rsidR="00EB2617" w:rsidRPr="00F83371" w:rsidRDefault="00652AAB" w:rsidP="00F83371">
      <w:pPr>
        <w:pStyle w:val="Textkrper"/>
        <w:ind w:left="116"/>
        <w:rPr>
          <w:rFonts w:asciiTheme="majorHAnsi" w:hAnsiTheme="majorHAnsi" w:cstheme="majorHAnsi"/>
          <w:b/>
        </w:rPr>
      </w:pPr>
    </w:p>
    <w:p w:rsidR="00F83371" w:rsidRPr="00F83371" w:rsidRDefault="00CD001B" w:rsidP="00F83371">
      <w:pPr>
        <w:pStyle w:val="berschrift1"/>
        <w:numPr>
          <w:ilvl w:val="0"/>
          <w:numId w:val="0"/>
        </w:numPr>
        <w:ind w:left="232"/>
        <w:rPr>
          <w:rFonts w:asciiTheme="majorHAnsi" w:hAnsiTheme="majorHAnsi" w:cstheme="majorHAnsi"/>
        </w:rPr>
      </w:pPr>
      <w:r w:rsidRPr="00F83371">
        <w:rPr>
          <w:rFonts w:asciiTheme="majorHAnsi" w:hAnsiTheme="majorHAnsi" w:cstheme="majorHAnsi"/>
        </w:rPr>
        <w:t>Beispiel 2: Vierköpfige Familie (zwei Erwachsene, zwei Kinder)</w:t>
      </w:r>
    </w:p>
    <w:p w:rsidR="00F83371" w:rsidRPr="00F83371" w:rsidRDefault="00CD001B" w:rsidP="00F83371">
      <w:pPr>
        <w:pStyle w:val="Listenabsatz"/>
        <w:widowControl w:val="0"/>
        <w:numPr>
          <w:ilvl w:val="0"/>
          <w:numId w:val="36"/>
        </w:numPr>
        <w:tabs>
          <w:tab w:val="left" w:pos="832"/>
          <w:tab w:val="left" w:pos="833"/>
        </w:tabs>
        <w:autoSpaceDE w:val="0"/>
        <w:autoSpaceDN w:val="0"/>
        <w:spacing w:before="14" w:line="254" w:lineRule="exact"/>
        <w:ind w:left="426" w:right="-8" w:hanging="426"/>
        <w:contextualSpacing w:val="0"/>
        <w:jc w:val="both"/>
        <w:rPr>
          <w:rFonts w:asciiTheme="majorHAnsi" w:hAnsiTheme="majorHAnsi" w:cstheme="majorHAnsi"/>
        </w:rPr>
      </w:pPr>
      <w:r>
        <w:rPr>
          <w:rFonts w:asciiTheme="majorHAnsi" w:hAnsiTheme="majorHAnsi" w:cstheme="majorHAnsi"/>
        </w:rPr>
        <w:t xml:space="preserve">Gemeinsames Jahreseinkommen der </w:t>
      </w:r>
      <w:r w:rsidRPr="00F83371">
        <w:rPr>
          <w:rFonts w:asciiTheme="majorHAnsi" w:hAnsiTheme="majorHAnsi" w:cstheme="majorHAnsi"/>
        </w:rPr>
        <w:t>Eltern</w:t>
      </w:r>
      <w:r>
        <w:rPr>
          <w:rFonts w:asciiTheme="majorHAnsi" w:hAnsiTheme="majorHAnsi" w:cstheme="majorHAnsi"/>
        </w:rPr>
        <w:t xml:space="preserve">: </w:t>
      </w:r>
      <w:r w:rsidRPr="00F83371">
        <w:rPr>
          <w:rFonts w:asciiTheme="majorHAnsi" w:hAnsiTheme="majorHAnsi" w:cstheme="majorHAnsi"/>
        </w:rPr>
        <w:t>CHF 60'000.–</w:t>
      </w:r>
    </w:p>
    <w:p w:rsidR="00F83371" w:rsidRPr="00F83371" w:rsidRDefault="00CD001B" w:rsidP="00F83371">
      <w:pPr>
        <w:pStyle w:val="Listenabsatz"/>
        <w:widowControl w:val="0"/>
        <w:numPr>
          <w:ilvl w:val="0"/>
          <w:numId w:val="36"/>
        </w:numPr>
        <w:tabs>
          <w:tab w:val="left" w:pos="832"/>
          <w:tab w:val="left" w:pos="833"/>
        </w:tabs>
        <w:autoSpaceDE w:val="0"/>
        <w:autoSpaceDN w:val="0"/>
        <w:spacing w:before="14" w:line="254" w:lineRule="exact"/>
        <w:ind w:left="426" w:right="-8" w:hanging="426"/>
        <w:contextualSpacing w:val="0"/>
        <w:jc w:val="both"/>
        <w:rPr>
          <w:rFonts w:asciiTheme="majorHAnsi" w:hAnsiTheme="majorHAnsi" w:cstheme="majorHAnsi"/>
        </w:rPr>
      </w:pPr>
      <w:r w:rsidRPr="00F83371">
        <w:rPr>
          <w:rFonts w:asciiTheme="majorHAnsi" w:hAnsiTheme="majorHAnsi" w:cstheme="majorHAnsi"/>
        </w:rPr>
        <w:t>Jahresnettomiete</w:t>
      </w:r>
      <w:r>
        <w:rPr>
          <w:rFonts w:asciiTheme="majorHAnsi" w:hAnsiTheme="majorHAnsi" w:cstheme="majorHAnsi"/>
        </w:rPr>
        <w:t xml:space="preserve">: </w:t>
      </w:r>
      <w:r w:rsidRPr="00F83371">
        <w:rPr>
          <w:rFonts w:asciiTheme="majorHAnsi" w:hAnsiTheme="majorHAnsi" w:cstheme="majorHAnsi"/>
        </w:rPr>
        <w:t xml:space="preserve">CHF 19'200.– zuzüglich Nebenkosten von CHF 3'840.–, Total von CHF 23'040.– </w:t>
      </w:r>
    </w:p>
    <w:p w:rsidR="00F83371" w:rsidRPr="00F83371" w:rsidRDefault="00CD001B" w:rsidP="00F83371">
      <w:pPr>
        <w:pStyle w:val="Listenabsatz"/>
        <w:widowControl w:val="0"/>
        <w:numPr>
          <w:ilvl w:val="0"/>
          <w:numId w:val="36"/>
        </w:numPr>
        <w:tabs>
          <w:tab w:val="left" w:pos="832"/>
          <w:tab w:val="left" w:pos="833"/>
        </w:tabs>
        <w:autoSpaceDE w:val="0"/>
        <w:autoSpaceDN w:val="0"/>
        <w:spacing w:before="14" w:line="254" w:lineRule="exact"/>
        <w:ind w:left="426" w:right="-8" w:hanging="426"/>
        <w:contextualSpacing w:val="0"/>
        <w:jc w:val="both"/>
        <w:rPr>
          <w:rFonts w:asciiTheme="majorHAnsi" w:hAnsiTheme="majorHAnsi" w:cstheme="majorHAnsi"/>
        </w:rPr>
      </w:pPr>
      <w:r w:rsidRPr="00F83371">
        <w:rPr>
          <w:rFonts w:asciiTheme="majorHAnsi" w:hAnsiTheme="majorHAnsi" w:cstheme="majorHAnsi"/>
        </w:rPr>
        <w:t>angemessene Jahresnettomiete</w:t>
      </w:r>
      <w:r>
        <w:rPr>
          <w:rFonts w:asciiTheme="majorHAnsi" w:hAnsiTheme="majorHAnsi" w:cstheme="majorHAnsi"/>
        </w:rPr>
        <w:t xml:space="preserve">: </w:t>
      </w:r>
      <w:r w:rsidRPr="00F83371">
        <w:rPr>
          <w:rFonts w:asciiTheme="majorHAnsi" w:hAnsiTheme="majorHAnsi" w:cstheme="majorHAnsi"/>
        </w:rPr>
        <w:t>CHF 18’000.– zuzüglich 20 % Nebenkosten CHF 3’600.–</w:t>
      </w:r>
      <w:r>
        <w:rPr>
          <w:rFonts w:asciiTheme="majorHAnsi" w:hAnsiTheme="majorHAnsi" w:cstheme="majorHAnsi"/>
        </w:rPr>
        <w:t>; T</w:t>
      </w:r>
      <w:r w:rsidRPr="00F83371">
        <w:rPr>
          <w:rFonts w:asciiTheme="majorHAnsi" w:hAnsiTheme="majorHAnsi" w:cstheme="majorHAnsi"/>
        </w:rPr>
        <w:t>otal CHF 21’600.–</w:t>
      </w:r>
      <w:r>
        <w:rPr>
          <w:rFonts w:asciiTheme="majorHAnsi" w:hAnsiTheme="majorHAnsi" w:cstheme="majorHAnsi"/>
        </w:rPr>
        <w:t xml:space="preserve"> </w:t>
      </w:r>
      <w:r>
        <w:rPr>
          <w:rFonts w:ascii="Wingdings" w:hAnsi="Wingdings" w:cstheme="majorHAnsi"/>
        </w:rPr>
        <w:sym w:font="Wingdings" w:char="F0E8"/>
      </w:r>
      <w:r>
        <w:rPr>
          <w:rFonts w:asciiTheme="majorHAnsi" w:hAnsiTheme="majorHAnsi" w:cstheme="majorHAnsi"/>
        </w:rPr>
        <w:t xml:space="preserve"> </w:t>
      </w:r>
      <w:r w:rsidRPr="00F83371">
        <w:rPr>
          <w:rFonts w:asciiTheme="majorHAnsi" w:hAnsiTheme="majorHAnsi" w:cstheme="majorHAnsi"/>
        </w:rPr>
        <w:t xml:space="preserve">Jahresnettomiete zuzüglich Nebenkosten liegt über der angemessenen Jahresnettomiete, Jahresnettomiete </w:t>
      </w:r>
      <w:r>
        <w:rPr>
          <w:rFonts w:asciiTheme="majorHAnsi" w:hAnsiTheme="majorHAnsi" w:cstheme="majorHAnsi"/>
        </w:rPr>
        <w:t xml:space="preserve">wird </w:t>
      </w:r>
      <w:r w:rsidRPr="00F83371">
        <w:rPr>
          <w:rFonts w:asciiTheme="majorHAnsi" w:hAnsiTheme="majorHAnsi" w:cstheme="majorHAnsi"/>
        </w:rPr>
        <w:t>nur bis zur angemessenen Jahresnettomiete berücksichtigt.</w:t>
      </w:r>
    </w:p>
    <w:p w:rsidR="00F83371" w:rsidRPr="00F83371" w:rsidRDefault="00CD001B" w:rsidP="00F83371">
      <w:pPr>
        <w:pStyle w:val="Listenabsatz"/>
        <w:widowControl w:val="0"/>
        <w:numPr>
          <w:ilvl w:val="0"/>
          <w:numId w:val="36"/>
        </w:numPr>
        <w:tabs>
          <w:tab w:val="left" w:pos="832"/>
          <w:tab w:val="left" w:pos="833"/>
        </w:tabs>
        <w:autoSpaceDE w:val="0"/>
        <w:autoSpaceDN w:val="0"/>
        <w:spacing w:before="14" w:line="254" w:lineRule="exact"/>
        <w:ind w:left="426" w:right="-8" w:hanging="426"/>
        <w:contextualSpacing w:val="0"/>
        <w:jc w:val="both"/>
        <w:rPr>
          <w:rFonts w:asciiTheme="majorHAnsi" w:hAnsiTheme="majorHAnsi" w:cstheme="majorHAnsi"/>
        </w:rPr>
      </w:pPr>
      <w:r>
        <w:rPr>
          <w:rFonts w:asciiTheme="majorHAnsi" w:hAnsiTheme="majorHAnsi" w:cstheme="majorHAnsi"/>
        </w:rPr>
        <w:t>Keine Fremdbetreuungskosten für die Kinder.</w:t>
      </w:r>
    </w:p>
    <w:p w:rsidR="00F83371" w:rsidRDefault="00CD001B" w:rsidP="00F83371">
      <w:pPr>
        <w:pStyle w:val="Listenabsatz"/>
        <w:widowControl w:val="0"/>
        <w:numPr>
          <w:ilvl w:val="0"/>
          <w:numId w:val="36"/>
        </w:numPr>
        <w:tabs>
          <w:tab w:val="left" w:pos="832"/>
          <w:tab w:val="left" w:pos="833"/>
        </w:tabs>
        <w:autoSpaceDE w:val="0"/>
        <w:autoSpaceDN w:val="0"/>
        <w:spacing w:before="14" w:line="254" w:lineRule="exact"/>
        <w:ind w:left="426" w:right="-8" w:hanging="426"/>
        <w:contextualSpacing w:val="0"/>
        <w:jc w:val="both"/>
        <w:rPr>
          <w:rFonts w:asciiTheme="majorHAnsi" w:hAnsiTheme="majorHAnsi" w:cstheme="majorHAnsi"/>
        </w:rPr>
      </w:pPr>
      <w:r w:rsidRPr="00F83371">
        <w:rPr>
          <w:rFonts w:asciiTheme="majorHAnsi" w:hAnsiTheme="majorHAnsi" w:cstheme="majorHAnsi"/>
        </w:rPr>
        <w:t>Die Krankenkassenprämien</w:t>
      </w:r>
      <w:r>
        <w:rPr>
          <w:rFonts w:asciiTheme="majorHAnsi" w:hAnsiTheme="majorHAnsi" w:cstheme="majorHAnsi"/>
        </w:rPr>
        <w:t xml:space="preserve">: </w:t>
      </w:r>
      <w:r w:rsidRPr="00F83371">
        <w:rPr>
          <w:rFonts w:asciiTheme="majorHAnsi" w:hAnsiTheme="majorHAnsi" w:cstheme="majorHAnsi"/>
        </w:rPr>
        <w:t xml:space="preserve">CHF 17'256.– (CHF 6’960.- * 2 + 1’668.- * 2). </w:t>
      </w:r>
    </w:p>
    <w:p w:rsidR="00F83371" w:rsidRPr="00F83371" w:rsidRDefault="00CD001B" w:rsidP="00F83371">
      <w:pPr>
        <w:pStyle w:val="Listenabsatz"/>
        <w:widowControl w:val="0"/>
        <w:tabs>
          <w:tab w:val="left" w:pos="832"/>
          <w:tab w:val="left" w:pos="833"/>
        </w:tabs>
        <w:autoSpaceDE w:val="0"/>
        <w:autoSpaceDN w:val="0"/>
        <w:spacing w:before="14" w:line="254" w:lineRule="exact"/>
        <w:ind w:left="426" w:right="-8"/>
        <w:contextualSpacing w:val="0"/>
        <w:jc w:val="both"/>
        <w:rPr>
          <w:rFonts w:asciiTheme="majorHAnsi" w:hAnsiTheme="majorHAnsi" w:cstheme="majorHAnsi"/>
        </w:rPr>
      </w:pPr>
      <w:r w:rsidRPr="00F83371">
        <w:rPr>
          <w:rFonts w:asciiTheme="majorHAnsi" w:hAnsiTheme="majorHAnsi" w:cstheme="majorHAnsi"/>
        </w:rPr>
        <w:t>Prämienverbilligung</w:t>
      </w:r>
      <w:r>
        <w:rPr>
          <w:rFonts w:asciiTheme="majorHAnsi" w:hAnsiTheme="majorHAnsi" w:cstheme="majorHAnsi"/>
        </w:rPr>
        <w:t xml:space="preserve">: </w:t>
      </w:r>
      <w:r w:rsidRPr="00F83371">
        <w:rPr>
          <w:rFonts w:asciiTheme="majorHAnsi" w:hAnsiTheme="majorHAnsi" w:cstheme="majorHAnsi"/>
        </w:rPr>
        <w:t>CHF 7’032.–</w:t>
      </w:r>
      <w:r>
        <w:rPr>
          <w:rFonts w:asciiTheme="majorHAnsi" w:hAnsiTheme="majorHAnsi" w:cstheme="majorHAnsi"/>
        </w:rPr>
        <w:t xml:space="preserve"> </w:t>
      </w:r>
      <w:r>
        <w:rPr>
          <w:rFonts w:ascii="Wingdings" w:hAnsi="Wingdings" w:cstheme="majorHAnsi"/>
        </w:rPr>
        <w:sym w:font="Wingdings" w:char="F0E8"/>
      </w:r>
      <w:r>
        <w:rPr>
          <w:rFonts w:asciiTheme="majorHAnsi" w:hAnsiTheme="majorHAnsi" w:cstheme="majorHAnsi"/>
        </w:rPr>
        <w:t xml:space="preserve"> </w:t>
      </w:r>
      <w:r w:rsidRPr="00F83371">
        <w:rPr>
          <w:rFonts w:asciiTheme="majorHAnsi" w:hAnsiTheme="majorHAnsi" w:cstheme="majorHAnsi"/>
        </w:rPr>
        <w:t xml:space="preserve">effektive Krankenkassenprämien CHF 10'224.– </w:t>
      </w:r>
    </w:p>
    <w:p w:rsidR="00F83371" w:rsidRPr="00F83371" w:rsidRDefault="00CD001B" w:rsidP="00F83371">
      <w:pPr>
        <w:pStyle w:val="Listenabsatz"/>
        <w:widowControl w:val="0"/>
        <w:numPr>
          <w:ilvl w:val="0"/>
          <w:numId w:val="36"/>
        </w:numPr>
        <w:tabs>
          <w:tab w:val="left" w:pos="832"/>
          <w:tab w:val="left" w:pos="833"/>
        </w:tabs>
        <w:autoSpaceDE w:val="0"/>
        <w:autoSpaceDN w:val="0"/>
        <w:spacing w:before="14" w:line="254" w:lineRule="exact"/>
        <w:ind w:left="426" w:right="-8" w:hanging="426"/>
        <w:contextualSpacing w:val="0"/>
        <w:jc w:val="both"/>
        <w:rPr>
          <w:rFonts w:asciiTheme="majorHAnsi" w:hAnsiTheme="majorHAnsi" w:cstheme="majorHAnsi"/>
        </w:rPr>
      </w:pPr>
      <w:r w:rsidRPr="00F83371">
        <w:rPr>
          <w:rFonts w:asciiTheme="majorHAnsi" w:hAnsiTheme="majorHAnsi" w:cstheme="majorHAnsi"/>
        </w:rPr>
        <w:t>Vermögen der Unterstützungseinheit</w:t>
      </w:r>
      <w:r>
        <w:rPr>
          <w:rFonts w:asciiTheme="majorHAnsi" w:hAnsiTheme="majorHAnsi" w:cstheme="majorHAnsi"/>
        </w:rPr>
        <w:t xml:space="preserve">: </w:t>
      </w:r>
      <w:r w:rsidRPr="00F83371">
        <w:rPr>
          <w:rFonts w:asciiTheme="majorHAnsi" w:hAnsiTheme="majorHAnsi" w:cstheme="majorHAnsi"/>
        </w:rPr>
        <w:t>CHF 20'000.–.</w:t>
      </w:r>
    </w:p>
    <w:p w:rsidR="00F83371" w:rsidRPr="00F83371" w:rsidRDefault="00CD001B" w:rsidP="00F83371">
      <w:pPr>
        <w:pStyle w:val="Listenabsatz"/>
        <w:widowControl w:val="0"/>
        <w:numPr>
          <w:ilvl w:val="0"/>
          <w:numId w:val="36"/>
        </w:numPr>
        <w:tabs>
          <w:tab w:val="left" w:pos="832"/>
          <w:tab w:val="left" w:pos="833"/>
        </w:tabs>
        <w:autoSpaceDE w:val="0"/>
        <w:autoSpaceDN w:val="0"/>
        <w:spacing w:before="14" w:line="254" w:lineRule="exact"/>
        <w:ind w:left="426" w:right="-8" w:hanging="426"/>
        <w:contextualSpacing w:val="0"/>
        <w:jc w:val="both"/>
        <w:rPr>
          <w:rFonts w:asciiTheme="majorHAnsi" w:hAnsiTheme="majorHAnsi" w:cstheme="majorHAnsi"/>
        </w:rPr>
      </w:pPr>
      <w:r w:rsidRPr="00F83371">
        <w:rPr>
          <w:rFonts w:asciiTheme="majorHAnsi" w:hAnsiTheme="majorHAnsi" w:cstheme="majorHAnsi"/>
        </w:rPr>
        <w:t>sozialhilferechtliche</w:t>
      </w:r>
      <w:r>
        <w:rPr>
          <w:rFonts w:asciiTheme="majorHAnsi" w:hAnsiTheme="majorHAnsi" w:cstheme="majorHAnsi"/>
        </w:rPr>
        <w:t>r</w:t>
      </w:r>
      <w:r w:rsidRPr="00F83371">
        <w:rPr>
          <w:rFonts w:asciiTheme="majorHAnsi" w:hAnsiTheme="majorHAnsi" w:cstheme="majorHAnsi"/>
        </w:rPr>
        <w:t xml:space="preserve"> Grundbedarf gemäss § 9 Abs. 1 SH</w:t>
      </w:r>
      <w:r>
        <w:rPr>
          <w:rFonts w:asciiTheme="majorHAnsi" w:hAnsiTheme="majorHAnsi" w:cstheme="majorHAnsi"/>
        </w:rPr>
        <w:t>V:</w:t>
      </w:r>
      <w:r w:rsidRPr="00F83371">
        <w:rPr>
          <w:rFonts w:asciiTheme="majorHAnsi" w:hAnsiTheme="majorHAnsi" w:cstheme="majorHAnsi"/>
        </w:rPr>
        <w:t xml:space="preserve"> CHF 26'472 (= CHF 2’206 * 12)</w:t>
      </w:r>
    </w:p>
    <w:p w:rsidR="00472BDA" w:rsidRDefault="00CD001B" w:rsidP="009F00E3">
      <w:pPr>
        <w:pStyle w:val="Listenabsatz"/>
        <w:widowControl w:val="0"/>
        <w:numPr>
          <w:ilvl w:val="0"/>
          <w:numId w:val="36"/>
        </w:numPr>
        <w:tabs>
          <w:tab w:val="left" w:pos="832"/>
          <w:tab w:val="left" w:pos="833"/>
        </w:tabs>
        <w:autoSpaceDE w:val="0"/>
        <w:autoSpaceDN w:val="0"/>
        <w:spacing w:before="14" w:line="254" w:lineRule="exact"/>
        <w:ind w:left="426" w:right="-8" w:hanging="426"/>
        <w:contextualSpacing w:val="0"/>
        <w:jc w:val="both"/>
        <w:rPr>
          <w:rFonts w:asciiTheme="majorHAnsi" w:hAnsiTheme="majorHAnsi" w:cstheme="majorHAnsi"/>
        </w:rPr>
      </w:pPr>
      <w:r w:rsidRPr="00F83371">
        <w:rPr>
          <w:rFonts w:asciiTheme="majorHAnsi" w:hAnsiTheme="majorHAnsi" w:cstheme="majorHAnsi"/>
        </w:rPr>
        <w:t>freie Vermögensbeträge gemäss § 16 Abs. 2 SHV</w:t>
      </w:r>
      <w:r>
        <w:rPr>
          <w:rFonts w:asciiTheme="majorHAnsi" w:hAnsiTheme="majorHAnsi" w:cstheme="majorHAnsi"/>
        </w:rPr>
        <w:t xml:space="preserve"> </w:t>
      </w:r>
      <w:r w:rsidRPr="00F83371">
        <w:rPr>
          <w:rFonts w:asciiTheme="majorHAnsi" w:hAnsiTheme="majorHAnsi" w:cstheme="majorHAnsi"/>
        </w:rPr>
        <w:t>für die Familie</w:t>
      </w:r>
      <w:r>
        <w:rPr>
          <w:rFonts w:asciiTheme="majorHAnsi" w:hAnsiTheme="majorHAnsi" w:cstheme="majorHAnsi"/>
        </w:rPr>
        <w:t>: C</w:t>
      </w:r>
      <w:r w:rsidRPr="00F83371">
        <w:rPr>
          <w:rFonts w:asciiTheme="majorHAnsi" w:hAnsiTheme="majorHAnsi" w:cstheme="majorHAnsi"/>
        </w:rPr>
        <w:t>HF 4’700.-</w:t>
      </w:r>
    </w:p>
    <w:p w:rsidR="00DC4355" w:rsidRDefault="00652AAB" w:rsidP="00DC4355">
      <w:pPr>
        <w:widowControl w:val="0"/>
        <w:tabs>
          <w:tab w:val="left" w:pos="832"/>
          <w:tab w:val="left" w:pos="833"/>
        </w:tabs>
        <w:autoSpaceDE w:val="0"/>
        <w:autoSpaceDN w:val="0"/>
        <w:spacing w:before="14" w:line="254" w:lineRule="exact"/>
        <w:ind w:right="-8"/>
        <w:jc w:val="both"/>
        <w:rPr>
          <w:rFonts w:asciiTheme="majorHAnsi" w:hAnsiTheme="majorHAnsi" w:cstheme="majorHAnsi"/>
        </w:rPr>
      </w:pPr>
    </w:p>
    <w:p w:rsidR="00DC4355" w:rsidRDefault="00652AAB" w:rsidP="00DC4355">
      <w:pPr>
        <w:widowControl w:val="0"/>
        <w:tabs>
          <w:tab w:val="left" w:pos="832"/>
          <w:tab w:val="left" w:pos="833"/>
        </w:tabs>
        <w:autoSpaceDE w:val="0"/>
        <w:autoSpaceDN w:val="0"/>
        <w:spacing w:before="14" w:line="254" w:lineRule="exact"/>
        <w:ind w:right="-8"/>
        <w:jc w:val="both"/>
        <w:rPr>
          <w:rFonts w:asciiTheme="majorHAnsi" w:hAnsiTheme="majorHAnsi" w:cstheme="majorHAnsi"/>
        </w:rPr>
      </w:pPr>
    </w:p>
    <w:p w:rsidR="00DC4355" w:rsidRPr="0015301A" w:rsidRDefault="00CD001B" w:rsidP="005D0098">
      <w:pPr>
        <w:widowControl w:val="0"/>
        <w:tabs>
          <w:tab w:val="left" w:pos="832"/>
          <w:tab w:val="left" w:pos="833"/>
        </w:tabs>
        <w:autoSpaceDE w:val="0"/>
        <w:autoSpaceDN w:val="0"/>
        <w:spacing w:before="14" w:line="254" w:lineRule="exact"/>
        <w:ind w:right="-8"/>
        <w:jc w:val="both"/>
        <w:rPr>
          <w:rFonts w:asciiTheme="majorHAnsi" w:hAnsiTheme="majorHAnsi"/>
        </w:rPr>
      </w:pPr>
      <w:r>
        <w:rPr>
          <w:rFonts w:asciiTheme="majorHAnsi" w:hAnsiTheme="majorHAnsi" w:cstheme="majorHAnsi"/>
        </w:rPr>
        <w:t>Anhang: PDF mit Variantenberechnungen</w:t>
      </w:r>
    </w:p>
    <w:sectPr w:rsidR="00DC4355" w:rsidRPr="0015301A" w:rsidSect="005D0098">
      <w:headerReference w:type="even" r:id="rId17"/>
      <w:headerReference w:type="default" r:id="rId18"/>
      <w:footerReference w:type="even" r:id="rId19"/>
      <w:headerReference w:type="first" r:id="rId20"/>
      <w:footerReference w:type="first" r:id="rId21"/>
      <w:pgSz w:w="11900" w:h="16840" w:code="9"/>
      <w:pgMar w:top="851" w:right="851" w:bottom="851" w:left="1418" w:header="397"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2EA" w:rsidRDefault="007742EA">
      <w:r>
        <w:separator/>
      </w:r>
    </w:p>
  </w:endnote>
  <w:endnote w:type="continuationSeparator" w:id="0">
    <w:p w:rsidR="007742EA" w:rsidRDefault="007742EA">
      <w:r>
        <w:continuationSeparator/>
      </w:r>
    </w:p>
  </w:endnote>
  <w:endnote w:type="continuationNotice" w:id="1">
    <w:p w:rsidR="007742EA" w:rsidRDefault="00774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D84" w:rsidRPr="000167C8" w:rsidRDefault="00CD001B" w:rsidP="005D0098">
    <w:pPr>
      <w:pStyle w:val="Fuzeile"/>
      <w:tabs>
        <w:tab w:val="clear" w:pos="8640"/>
        <w:tab w:val="right" w:pos="15026"/>
      </w:tabs>
      <w:ind w:right="112"/>
      <w:rPr>
        <w:rFonts w:asciiTheme="majorHAnsi" w:hAnsiTheme="majorHAnsi"/>
        <w:sz w:val="18"/>
        <w:lang w:val="de-DE"/>
      </w:rPr>
    </w:pPr>
    <w:r w:rsidRPr="00875AE7">
      <w:rPr>
        <w:rFonts w:asciiTheme="majorHAnsi" w:hAnsiTheme="majorHAnsi" w:cstheme="majorHAnsi"/>
        <w:sz w:val="18"/>
        <w:szCs w:val="18"/>
        <w:lang w:val="de-DE"/>
      </w:rPr>
      <w:t>Musterreglement MBG</w:t>
    </w:r>
    <w:r w:rsidRPr="00875AE7">
      <w:rPr>
        <w:rFonts w:asciiTheme="majorHAnsi" w:hAnsiTheme="majorHAnsi" w:cstheme="majorHAnsi"/>
        <w:sz w:val="18"/>
        <w:szCs w:val="18"/>
        <w:lang w:val="de-DE"/>
      </w:rPr>
      <w:tab/>
    </w:r>
    <w:r w:rsidRPr="00875AE7">
      <w:rPr>
        <w:rFonts w:asciiTheme="majorHAnsi" w:hAnsiTheme="majorHAnsi" w:cstheme="majorHAnsi"/>
        <w:sz w:val="18"/>
        <w:szCs w:val="18"/>
        <w:lang w:val="de-DE"/>
      </w:rPr>
      <w:tab/>
    </w:r>
    <w:r w:rsidRPr="00875AE7">
      <w:rPr>
        <w:rFonts w:asciiTheme="majorHAnsi" w:hAnsiTheme="majorHAnsi" w:cstheme="majorHAnsi"/>
        <w:sz w:val="18"/>
        <w:szCs w:val="18"/>
        <w:lang w:val="de-DE"/>
      </w:rPr>
      <w:fldChar w:fldCharType="begin"/>
    </w:r>
    <w:r w:rsidRPr="00875AE7">
      <w:rPr>
        <w:rFonts w:asciiTheme="majorHAnsi" w:hAnsiTheme="majorHAnsi" w:cstheme="majorHAnsi"/>
        <w:sz w:val="18"/>
        <w:szCs w:val="18"/>
        <w:lang w:val="de-DE"/>
      </w:rPr>
      <w:instrText>PAGE   \* MERGEFORMAT</w:instrText>
    </w:r>
    <w:r w:rsidRPr="00875AE7">
      <w:rPr>
        <w:rFonts w:asciiTheme="majorHAnsi" w:hAnsiTheme="majorHAnsi" w:cstheme="majorHAnsi"/>
        <w:sz w:val="18"/>
        <w:szCs w:val="18"/>
        <w:lang w:val="de-DE"/>
      </w:rPr>
      <w:fldChar w:fldCharType="separate"/>
    </w:r>
    <w:r w:rsidR="00652AAB" w:rsidRPr="00652AAB">
      <w:rPr>
        <w:rFonts w:asciiTheme="majorHAnsi" w:hAnsiTheme="majorHAnsi" w:cstheme="majorHAnsi"/>
        <w:b/>
        <w:bCs/>
        <w:noProof/>
        <w:sz w:val="18"/>
        <w:szCs w:val="18"/>
        <w:lang w:val="de-DE"/>
      </w:rPr>
      <w:t>6</w:t>
    </w:r>
    <w:r w:rsidRPr="00875AE7">
      <w:rPr>
        <w:rFonts w:asciiTheme="majorHAnsi" w:hAnsiTheme="majorHAnsi" w:cstheme="majorHAnsi"/>
        <w:b/>
        <w:bCs/>
        <w:sz w:val="18"/>
        <w:szCs w:val="18"/>
        <w:lang w:val="de-DE"/>
      </w:rPr>
      <w:fldChar w:fldCharType="end"/>
    </w:r>
    <w:r w:rsidRPr="00875AE7">
      <w:rPr>
        <w:rFonts w:asciiTheme="majorHAnsi" w:hAnsiTheme="majorHAnsi" w:cstheme="majorHAnsi"/>
        <w:b/>
        <w:bCs/>
        <w:sz w:val="18"/>
        <w:szCs w:val="18"/>
        <w:lang w:val="de-DE"/>
      </w:rPr>
      <w:t xml:space="preserve"> </w:t>
    </w:r>
    <w:r w:rsidRPr="00875AE7">
      <w:rPr>
        <w:rFonts w:asciiTheme="majorHAnsi" w:hAnsiTheme="majorHAnsi" w:cstheme="majorHAnsi"/>
        <w:sz w:val="18"/>
        <w:szCs w:val="18"/>
        <w:lang w:val="de-DE"/>
      </w:rPr>
      <w:t>|</w:t>
    </w:r>
    <w:r w:rsidRPr="00875AE7">
      <w:rPr>
        <w:rFonts w:asciiTheme="majorHAnsi" w:hAnsiTheme="majorHAnsi" w:cstheme="majorHAnsi"/>
        <w:b/>
        <w:bCs/>
        <w:sz w:val="18"/>
        <w:szCs w:val="18"/>
        <w:lang w:val="de-DE"/>
      </w:rPr>
      <w:t xml:space="preserve"> </w:t>
    </w:r>
    <w:r w:rsidRPr="00875AE7">
      <w:rPr>
        <w:rFonts w:asciiTheme="majorHAnsi" w:hAnsiTheme="majorHAnsi" w:cstheme="majorHAnsi"/>
        <w:color w:val="7F7F7F" w:themeColor="background1" w:themeShade="7F"/>
        <w:spacing w:val="60"/>
        <w:sz w:val="18"/>
        <w:szCs w:val="18"/>
        <w:lang w:val="de-DE"/>
      </w:rPr>
      <w:t>Seite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2EA" w:rsidRDefault="007742E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2EA" w:rsidRDefault="00774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2EA" w:rsidRDefault="007742EA" w:rsidP="00CE1DA8">
      <w:r>
        <w:separator/>
      </w:r>
    </w:p>
  </w:footnote>
  <w:footnote w:type="continuationSeparator" w:id="0">
    <w:p w:rsidR="007742EA" w:rsidRDefault="007742EA" w:rsidP="00CE1DA8">
      <w:r>
        <w:continuationSeparator/>
      </w:r>
    </w:p>
  </w:footnote>
  <w:footnote w:type="continuationNotice" w:id="1">
    <w:p w:rsidR="007742EA" w:rsidRDefault="007742EA"/>
  </w:footnote>
  <w:footnote w:id="2">
    <w:p w:rsidR="0004467B" w:rsidRPr="00875AE7" w:rsidRDefault="00CD001B" w:rsidP="007D5908">
      <w:pPr>
        <w:pStyle w:val="Funotentext"/>
        <w:rPr>
          <w:rFonts w:asciiTheme="majorHAnsi" w:hAnsiTheme="majorHAnsi" w:cstheme="majorHAnsi"/>
          <w:lang w:val="de-DE"/>
        </w:rPr>
      </w:pPr>
      <w:r w:rsidRPr="00875AE7">
        <w:rPr>
          <w:rStyle w:val="Funotenzeichen"/>
          <w:rFonts w:asciiTheme="majorHAnsi" w:hAnsiTheme="majorHAnsi" w:cstheme="majorHAnsi"/>
        </w:rPr>
        <w:footnoteRef/>
      </w:r>
      <w:r w:rsidRPr="00875AE7">
        <w:rPr>
          <w:rFonts w:asciiTheme="majorHAnsi" w:hAnsiTheme="majorHAnsi" w:cstheme="majorHAnsi"/>
        </w:rPr>
        <w:t xml:space="preserve"> </w:t>
      </w:r>
      <w:r w:rsidRPr="00875AE7">
        <w:rPr>
          <w:rFonts w:asciiTheme="majorHAnsi" w:hAnsiTheme="majorHAnsi" w:cstheme="majorHAnsi"/>
          <w:lang w:val="de-DE"/>
        </w:rPr>
        <w:t>SGS 180</w:t>
      </w:r>
      <w:r w:rsidR="007D5908">
        <w:rPr>
          <w:rFonts w:asciiTheme="majorHAnsi" w:hAnsiTheme="majorHAnsi" w:cstheme="majorHAnsi"/>
          <w:lang w:val="de-DE"/>
        </w:rPr>
        <w:t xml:space="preserve">, Gesetz </w:t>
      </w:r>
      <w:r w:rsidR="007D5908" w:rsidRPr="007D5908">
        <w:rPr>
          <w:rFonts w:asciiTheme="majorHAnsi" w:hAnsiTheme="majorHAnsi" w:cstheme="majorHAnsi"/>
          <w:lang w:val="de-DE"/>
        </w:rPr>
        <w:t>über die Organisation und die Verwaltung der Gemeinden</w:t>
      </w:r>
      <w:r w:rsidRPr="00875AE7">
        <w:rPr>
          <w:rFonts w:asciiTheme="majorHAnsi" w:hAnsiTheme="majorHAnsi" w:cstheme="majorHAnsi"/>
          <w:lang w:val="de-DE"/>
        </w:rPr>
        <w:t xml:space="preserve"> </w:t>
      </w:r>
      <w:r w:rsidR="007D5908">
        <w:rPr>
          <w:rFonts w:asciiTheme="majorHAnsi" w:hAnsiTheme="majorHAnsi" w:cstheme="majorHAnsi"/>
          <w:lang w:val="de-DE"/>
        </w:rPr>
        <w:t>(</w:t>
      </w:r>
      <w:r w:rsidRPr="00875AE7">
        <w:rPr>
          <w:rFonts w:asciiTheme="majorHAnsi" w:hAnsiTheme="majorHAnsi" w:cstheme="majorHAnsi"/>
          <w:lang w:val="de-DE"/>
        </w:rPr>
        <w:t xml:space="preserve">Gemeindegesetz </w:t>
      </w:r>
      <w:r w:rsidR="007D5908">
        <w:rPr>
          <w:rFonts w:asciiTheme="majorHAnsi" w:hAnsiTheme="majorHAnsi" w:cstheme="majorHAnsi"/>
          <w:lang w:val="de-DE"/>
        </w:rPr>
        <w:t>[</w:t>
      </w:r>
      <w:proofErr w:type="spellStart"/>
      <w:r w:rsidRPr="00875AE7">
        <w:rPr>
          <w:rFonts w:asciiTheme="majorHAnsi" w:hAnsiTheme="majorHAnsi" w:cstheme="majorHAnsi"/>
          <w:lang w:val="de-DE"/>
        </w:rPr>
        <w:t>GemG</w:t>
      </w:r>
      <w:proofErr w:type="spellEnd"/>
      <w:r w:rsidR="007D5908">
        <w:rPr>
          <w:rFonts w:asciiTheme="majorHAnsi" w:hAnsiTheme="majorHAnsi" w:cstheme="majorHAnsi"/>
          <w:lang w:val="de-DE"/>
        </w:rPr>
        <w:t>])</w:t>
      </w:r>
      <w:r w:rsidRPr="00875AE7">
        <w:rPr>
          <w:rFonts w:asciiTheme="majorHAnsi" w:hAnsiTheme="majorHAnsi" w:cstheme="majorHAnsi"/>
          <w:lang w:val="de-DE"/>
        </w:rPr>
        <w:t xml:space="preserve"> vom 28. Mai 1970</w:t>
      </w:r>
    </w:p>
  </w:footnote>
  <w:footnote w:id="3">
    <w:p w:rsidR="0004467B" w:rsidRPr="00875AE7" w:rsidRDefault="00CD001B">
      <w:pPr>
        <w:pStyle w:val="Funotentext"/>
        <w:rPr>
          <w:rFonts w:asciiTheme="majorHAnsi" w:hAnsiTheme="majorHAnsi" w:cstheme="majorHAnsi"/>
          <w:lang w:val="de-DE"/>
        </w:rPr>
      </w:pPr>
      <w:r w:rsidRPr="00875AE7">
        <w:rPr>
          <w:rStyle w:val="Funotenzeichen"/>
          <w:rFonts w:asciiTheme="majorHAnsi" w:hAnsiTheme="majorHAnsi" w:cstheme="majorHAnsi"/>
        </w:rPr>
        <w:footnoteRef/>
      </w:r>
      <w:r w:rsidRPr="00875AE7">
        <w:rPr>
          <w:rFonts w:asciiTheme="majorHAnsi" w:hAnsiTheme="majorHAnsi" w:cstheme="majorHAnsi"/>
        </w:rPr>
        <w:t xml:space="preserve"> </w:t>
      </w:r>
      <w:r w:rsidRPr="00875AE7">
        <w:rPr>
          <w:rFonts w:asciiTheme="majorHAnsi" w:hAnsiTheme="majorHAnsi" w:cstheme="majorHAnsi"/>
          <w:lang w:val="de-DE"/>
        </w:rPr>
        <w:t xml:space="preserve">SGS 844, Mietzinsbeitragsgesetz (MBG) </w:t>
      </w:r>
      <w:r w:rsidRPr="00875AE7">
        <w:rPr>
          <w:rFonts w:asciiTheme="majorHAnsi" w:hAnsiTheme="majorHAnsi" w:cstheme="majorHAnsi"/>
        </w:rPr>
        <w:t xml:space="preserve">vom 1. Dezember 2022 </w:t>
      </w:r>
    </w:p>
  </w:footnote>
  <w:footnote w:id="4">
    <w:p w:rsidR="0004467B" w:rsidRPr="0004467B" w:rsidRDefault="00CD001B">
      <w:pPr>
        <w:pStyle w:val="Funotentext"/>
        <w:rPr>
          <w:lang w:val="de-DE"/>
        </w:rPr>
      </w:pPr>
      <w:r w:rsidRPr="00875AE7">
        <w:rPr>
          <w:rStyle w:val="Funotenzeichen"/>
          <w:rFonts w:asciiTheme="majorHAnsi" w:hAnsiTheme="majorHAnsi" w:cstheme="majorHAnsi"/>
        </w:rPr>
        <w:footnoteRef/>
      </w:r>
      <w:r w:rsidRPr="00875AE7">
        <w:rPr>
          <w:rFonts w:asciiTheme="majorHAnsi" w:hAnsiTheme="majorHAnsi" w:cstheme="majorHAnsi"/>
        </w:rPr>
        <w:t xml:space="preserve"> </w:t>
      </w:r>
      <w:r w:rsidRPr="00875AE7">
        <w:rPr>
          <w:rFonts w:asciiTheme="majorHAnsi" w:hAnsiTheme="majorHAnsi" w:cstheme="majorHAnsi"/>
          <w:lang w:val="de-DE"/>
        </w:rPr>
        <w:t>SGS 844.11</w:t>
      </w:r>
      <w:r w:rsidR="007D5908">
        <w:rPr>
          <w:rFonts w:asciiTheme="majorHAnsi" w:hAnsiTheme="majorHAnsi" w:cstheme="majorHAnsi"/>
          <w:lang w:val="de-DE"/>
        </w:rPr>
        <w:t>,</w:t>
      </w:r>
      <w:r w:rsidRPr="00875AE7">
        <w:rPr>
          <w:rFonts w:asciiTheme="majorHAnsi" w:hAnsiTheme="majorHAnsi" w:cstheme="majorHAnsi"/>
          <w:lang w:val="de-DE"/>
        </w:rPr>
        <w:t xml:space="preserve"> Verordnung zum Mietzinsbeitragsgesetz (</w:t>
      </w:r>
      <w:proofErr w:type="spellStart"/>
      <w:r w:rsidRPr="00875AE7">
        <w:rPr>
          <w:rFonts w:asciiTheme="majorHAnsi" w:hAnsiTheme="majorHAnsi" w:cstheme="majorHAnsi"/>
          <w:lang w:val="de-DE"/>
        </w:rPr>
        <w:t>Vo</w:t>
      </w:r>
      <w:proofErr w:type="spellEnd"/>
      <w:r w:rsidRPr="00875AE7">
        <w:rPr>
          <w:rFonts w:asciiTheme="majorHAnsi" w:hAnsiTheme="majorHAnsi" w:cstheme="majorHAnsi"/>
          <w:lang w:val="de-DE"/>
        </w:rPr>
        <w:t xml:space="preserve"> MBG) </w:t>
      </w:r>
      <w:r w:rsidRPr="00875AE7">
        <w:rPr>
          <w:rFonts w:asciiTheme="majorHAnsi" w:hAnsiTheme="majorHAnsi" w:cstheme="majorHAnsi"/>
        </w:rPr>
        <w:t>vom 30. Mai 2023</w:t>
      </w:r>
      <w:r w:rsidRPr="00F819BC">
        <w:t xml:space="preserve"> </w:t>
      </w:r>
    </w:p>
  </w:footnote>
  <w:footnote w:id="5">
    <w:p w:rsidR="00BF33D6" w:rsidRPr="00875AE7" w:rsidRDefault="00CD001B">
      <w:pPr>
        <w:pStyle w:val="Funotentext"/>
        <w:rPr>
          <w:rFonts w:asciiTheme="majorHAnsi" w:hAnsiTheme="majorHAnsi" w:cstheme="majorHAnsi"/>
          <w:lang w:val="de-DE"/>
        </w:rPr>
      </w:pPr>
      <w:r w:rsidRPr="00875AE7">
        <w:rPr>
          <w:rStyle w:val="Funotenzeichen"/>
          <w:rFonts w:asciiTheme="majorHAnsi" w:hAnsiTheme="majorHAnsi" w:cstheme="majorHAnsi"/>
        </w:rPr>
        <w:footnoteRef/>
      </w:r>
      <w:r w:rsidRPr="00875AE7">
        <w:rPr>
          <w:rFonts w:asciiTheme="majorHAnsi" w:hAnsiTheme="majorHAnsi" w:cstheme="majorHAnsi"/>
        </w:rPr>
        <w:t xml:space="preserve"> </w:t>
      </w:r>
      <w:r w:rsidRPr="00875AE7">
        <w:rPr>
          <w:rFonts w:asciiTheme="majorHAnsi" w:hAnsiTheme="majorHAnsi" w:cstheme="majorHAnsi"/>
          <w:lang w:val="de-DE"/>
        </w:rPr>
        <w:t>SGS 850.11</w:t>
      </w:r>
    </w:p>
  </w:footnote>
  <w:footnote w:id="6">
    <w:p w:rsidR="00BF33D6" w:rsidRPr="00875AE7" w:rsidRDefault="00CD001B">
      <w:pPr>
        <w:pStyle w:val="Funotentext"/>
        <w:rPr>
          <w:rFonts w:asciiTheme="majorHAnsi" w:hAnsiTheme="majorHAnsi" w:cstheme="majorHAnsi"/>
          <w:lang w:val="de-DE"/>
        </w:rPr>
      </w:pPr>
      <w:r w:rsidRPr="00875AE7">
        <w:rPr>
          <w:rStyle w:val="Funotenzeichen"/>
          <w:rFonts w:asciiTheme="majorHAnsi" w:hAnsiTheme="majorHAnsi" w:cstheme="majorHAnsi"/>
        </w:rPr>
        <w:footnoteRef/>
      </w:r>
      <w:r w:rsidRPr="00875AE7">
        <w:rPr>
          <w:rFonts w:asciiTheme="majorHAnsi" w:hAnsiTheme="majorHAnsi" w:cstheme="majorHAnsi"/>
        </w:rPr>
        <w:t xml:space="preserve"> </w:t>
      </w:r>
      <w:r w:rsidRPr="00875AE7">
        <w:rPr>
          <w:rFonts w:asciiTheme="majorHAnsi" w:hAnsiTheme="majorHAnsi" w:cstheme="majorHAnsi"/>
          <w:lang w:val="de-DE"/>
        </w:rPr>
        <w:t>SGS 850.11</w:t>
      </w:r>
    </w:p>
  </w:footnote>
  <w:footnote w:id="7">
    <w:p w:rsidR="00BF33D6" w:rsidRPr="00875AE7" w:rsidRDefault="00CD001B">
      <w:pPr>
        <w:pStyle w:val="Funotentext"/>
        <w:rPr>
          <w:rFonts w:asciiTheme="majorHAnsi" w:hAnsiTheme="majorHAnsi" w:cstheme="majorHAnsi"/>
          <w:lang w:val="de-DE"/>
        </w:rPr>
      </w:pPr>
      <w:r w:rsidRPr="00875AE7">
        <w:rPr>
          <w:rStyle w:val="Funotenzeichen"/>
          <w:rFonts w:asciiTheme="majorHAnsi" w:hAnsiTheme="majorHAnsi" w:cstheme="majorHAnsi"/>
        </w:rPr>
        <w:footnoteRef/>
      </w:r>
      <w:r w:rsidRPr="00875AE7">
        <w:rPr>
          <w:rFonts w:asciiTheme="majorHAnsi" w:hAnsiTheme="majorHAnsi" w:cstheme="majorHAnsi"/>
        </w:rPr>
        <w:t xml:space="preserve"> </w:t>
      </w:r>
      <w:r w:rsidRPr="00875AE7">
        <w:rPr>
          <w:rFonts w:asciiTheme="majorHAnsi" w:hAnsiTheme="majorHAnsi" w:cstheme="majorHAnsi"/>
          <w:lang w:val="de-DE"/>
        </w:rPr>
        <w:t>SGS 850.11</w:t>
      </w:r>
    </w:p>
  </w:footnote>
  <w:footnote w:id="8">
    <w:p w:rsidR="007029FA" w:rsidRPr="00875AE7" w:rsidRDefault="00CD001B" w:rsidP="007029FA">
      <w:pPr>
        <w:pStyle w:val="Funotentext"/>
        <w:rPr>
          <w:rFonts w:asciiTheme="majorHAnsi" w:hAnsiTheme="majorHAnsi" w:cstheme="majorHAnsi"/>
          <w:lang w:val="de-DE"/>
        </w:rPr>
      </w:pPr>
      <w:r w:rsidRPr="00875AE7">
        <w:rPr>
          <w:rStyle w:val="Funotenzeichen"/>
          <w:rFonts w:asciiTheme="majorHAnsi" w:hAnsiTheme="majorHAnsi" w:cstheme="majorHAnsi"/>
        </w:rPr>
        <w:footnoteRef/>
      </w:r>
      <w:r w:rsidRPr="00875AE7">
        <w:rPr>
          <w:rFonts w:asciiTheme="majorHAnsi" w:hAnsiTheme="majorHAnsi" w:cstheme="majorHAnsi"/>
        </w:rPr>
        <w:t xml:space="preserve"> </w:t>
      </w:r>
      <w:r w:rsidRPr="00875AE7">
        <w:rPr>
          <w:rFonts w:asciiTheme="majorHAnsi" w:hAnsiTheme="majorHAnsi" w:cstheme="majorHAnsi"/>
          <w:lang w:val="de-DE"/>
        </w:rPr>
        <w:t>SGS 850.11</w:t>
      </w:r>
    </w:p>
  </w:footnote>
  <w:footnote w:id="9">
    <w:p w:rsidR="00E65B2C" w:rsidRPr="00875AE7" w:rsidRDefault="00CD001B">
      <w:pPr>
        <w:pStyle w:val="Funotentext"/>
        <w:rPr>
          <w:rFonts w:asciiTheme="majorHAnsi" w:hAnsiTheme="majorHAnsi" w:cstheme="majorHAnsi"/>
          <w:lang w:val="de-DE"/>
        </w:rPr>
      </w:pPr>
      <w:r w:rsidRPr="00875AE7">
        <w:rPr>
          <w:rStyle w:val="Funotenzeichen"/>
          <w:rFonts w:asciiTheme="majorHAnsi" w:hAnsiTheme="majorHAnsi" w:cstheme="majorHAnsi"/>
        </w:rPr>
        <w:footnoteRef/>
      </w:r>
      <w:r w:rsidRPr="00875AE7">
        <w:rPr>
          <w:rFonts w:asciiTheme="majorHAnsi" w:hAnsiTheme="majorHAnsi" w:cstheme="majorHAnsi"/>
        </w:rPr>
        <w:t xml:space="preserve"> </w:t>
      </w:r>
      <w:r w:rsidRPr="00875AE7">
        <w:rPr>
          <w:rFonts w:asciiTheme="majorHAnsi" w:hAnsiTheme="majorHAnsi" w:cstheme="majorHAnsi"/>
          <w:lang w:val="de-DE"/>
        </w:rPr>
        <w:t>SGS 850.11</w:t>
      </w:r>
    </w:p>
  </w:footnote>
  <w:footnote w:id="10">
    <w:p w:rsidR="00E65B2C" w:rsidRPr="00875AE7" w:rsidRDefault="00CD001B">
      <w:pPr>
        <w:pStyle w:val="Funotentext"/>
        <w:rPr>
          <w:rFonts w:asciiTheme="majorHAnsi" w:hAnsiTheme="majorHAnsi" w:cstheme="majorHAnsi"/>
          <w:lang w:val="de-DE"/>
        </w:rPr>
      </w:pPr>
      <w:r w:rsidRPr="00875AE7">
        <w:rPr>
          <w:rStyle w:val="Funotenzeichen"/>
          <w:rFonts w:asciiTheme="majorHAnsi" w:hAnsiTheme="majorHAnsi" w:cstheme="majorHAnsi"/>
        </w:rPr>
        <w:footnoteRef/>
      </w:r>
      <w:r w:rsidRPr="00875AE7">
        <w:rPr>
          <w:rFonts w:asciiTheme="majorHAnsi" w:hAnsiTheme="majorHAnsi" w:cstheme="majorHAnsi"/>
        </w:rPr>
        <w:t xml:space="preserve"> </w:t>
      </w:r>
      <w:r w:rsidRPr="00875AE7">
        <w:rPr>
          <w:rFonts w:asciiTheme="majorHAnsi" w:hAnsiTheme="majorHAnsi" w:cstheme="majorHAnsi"/>
          <w:lang w:val="de-DE"/>
        </w:rPr>
        <w:t>SGS 850.11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03E" w:rsidRDefault="00E820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03E" w:rsidRDefault="00E8203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AAC" w:rsidRDefault="00E8203E">
    <w:pPr>
      <w:pStyle w:val="Kopfzeile"/>
    </w:pPr>
    <w:r>
      <w:rPr>
        <w:noProof/>
        <w:lang w:eastAsia="de-CH"/>
      </w:rPr>
      <w:drawing>
        <wp:anchor distT="0" distB="0" distL="114300" distR="114300" simplePos="0" relativeHeight="251665408" behindDoc="1" locked="0" layoutInCell="1" allowOverlap="1" wp14:anchorId="34D0EC1E" wp14:editId="4DFF12A4">
          <wp:simplePos x="0" y="0"/>
          <wp:positionH relativeFrom="margin">
            <wp:posOffset>3217332</wp:posOffset>
          </wp:positionH>
          <wp:positionV relativeFrom="page">
            <wp:posOffset>280203</wp:posOffset>
          </wp:positionV>
          <wp:extent cx="3083597" cy="671616"/>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97894" cy="674730"/>
                  </a:xfrm>
                  <a:prstGeom prst="rect">
                    <a:avLst/>
                  </a:prstGeom>
                </pic:spPr>
              </pic:pic>
            </a:graphicData>
          </a:graphic>
          <wp14:sizeRelH relativeFrom="margin">
            <wp14:pctWidth>0</wp14:pctWidth>
          </wp14:sizeRelH>
          <wp14:sizeRelV relativeFrom="margin">
            <wp14:pctHeight>0</wp14:pctHeight>
          </wp14:sizeRelV>
        </wp:anchor>
      </w:drawing>
    </w:r>
    <w:r w:rsidR="00E4662E">
      <w:rPr>
        <w:noProof/>
        <w:lang w:eastAsia="de-CH"/>
      </w:rPr>
      <w:drawing>
        <wp:anchor distT="0" distB="0" distL="114300" distR="114300" simplePos="0" relativeHeight="251663360" behindDoc="0" locked="0" layoutInCell="1" allowOverlap="1">
          <wp:simplePos x="0" y="0"/>
          <wp:positionH relativeFrom="column">
            <wp:posOffset>6614179</wp:posOffset>
          </wp:positionH>
          <wp:positionV relativeFrom="paragraph">
            <wp:posOffset>43898</wp:posOffset>
          </wp:positionV>
          <wp:extent cx="1487805" cy="544830"/>
          <wp:effectExtent l="0" t="0" r="0" b="7620"/>
          <wp:wrapThrough wrapText="bothSides">
            <wp:wrapPolygon edited="0">
              <wp:start x="1106" y="0"/>
              <wp:lineTo x="0" y="0"/>
              <wp:lineTo x="0" y="21147"/>
              <wp:lineTo x="10786" y="21147"/>
              <wp:lineTo x="21296" y="13594"/>
              <wp:lineTo x="21296" y="8308"/>
              <wp:lineTo x="14658" y="4531"/>
              <wp:lineTo x="2213" y="0"/>
              <wp:lineTo x="1106" y="0"/>
            </wp:wrapPolygon>
          </wp:wrapThrough>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87805" cy="544830"/>
                  </a:xfrm>
                  <a:prstGeom prst="rect">
                    <a:avLst/>
                  </a:prstGeom>
                </pic:spPr>
              </pic:pic>
            </a:graphicData>
          </a:graphic>
          <wp14:sizeRelH relativeFrom="margin">
            <wp14:pctWidth>0</wp14:pctWidth>
          </wp14:sizeRelH>
          <wp14:sizeRelV relativeFrom="margin">
            <wp14:pctHeight>0</wp14:pctHeight>
          </wp14:sizeRelV>
        </wp:anchor>
      </w:drawing>
    </w:r>
    <w:r w:rsidR="006F2E57" w:rsidRPr="00875AE7">
      <w:rPr>
        <w:noProof/>
        <w:lang w:eastAsia="de-CH"/>
      </w:rPr>
      <w:drawing>
        <wp:anchor distT="0" distB="0" distL="114300" distR="114300" simplePos="0" relativeHeight="251658240" behindDoc="1" locked="0" layoutInCell="1" allowOverlap="1" wp14:editId="7A50FF82">
          <wp:simplePos x="0" y="0"/>
          <wp:positionH relativeFrom="column">
            <wp:posOffset>8162290</wp:posOffset>
          </wp:positionH>
          <wp:positionV relativeFrom="paragraph">
            <wp:posOffset>90805</wp:posOffset>
          </wp:positionV>
          <wp:extent cx="1365250" cy="501015"/>
          <wp:effectExtent l="0" t="0" r="6350" b="0"/>
          <wp:wrapTight wrapText="bothSides">
            <wp:wrapPolygon edited="0">
              <wp:start x="0" y="0"/>
              <wp:lineTo x="0" y="20532"/>
              <wp:lineTo x="21399" y="20532"/>
              <wp:lineTo x="21399" y="0"/>
              <wp:lineTo x="0" y="0"/>
            </wp:wrapPolygon>
          </wp:wrapTight>
          <wp:docPr id="3" name="Grafik 3" descr="C:\Users\local_bie_rietschic\Temp\3\CMIAXIOMA\View_498843b2efb34e7cbd41b2f2ab358a90\GFV-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cal_bie_rietschic\Temp\3\CMIAXIOMA\View_498843b2efb34e7cbd41b2f2ab358a90\GFV-Logo.jp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365250" cy="5010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2EA" w:rsidRDefault="007742EA">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03E" w:rsidRDefault="00E8203E">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A23" w:rsidRDefault="00926A23">
    <w:pPr>
      <w:pStyle w:val="Kopfzeile"/>
    </w:pPr>
    <w:r w:rsidRPr="00875AE7">
      <w:rPr>
        <w:noProof/>
        <w:lang w:eastAsia="de-CH"/>
      </w:rPr>
      <w:drawing>
        <wp:anchor distT="0" distB="0" distL="114300" distR="114300" simplePos="0" relativeHeight="251662336" behindDoc="1" locked="0" layoutInCell="1" allowOverlap="1" wp14:anchorId="349C7AE4" wp14:editId="72235BD6">
          <wp:simplePos x="0" y="0"/>
          <wp:positionH relativeFrom="column">
            <wp:posOffset>8162290</wp:posOffset>
          </wp:positionH>
          <wp:positionV relativeFrom="paragraph">
            <wp:posOffset>90805</wp:posOffset>
          </wp:positionV>
          <wp:extent cx="1365250" cy="501015"/>
          <wp:effectExtent l="0" t="0" r="6350" b="0"/>
          <wp:wrapTight wrapText="bothSides">
            <wp:wrapPolygon edited="0">
              <wp:start x="0" y="0"/>
              <wp:lineTo x="0" y="20532"/>
              <wp:lineTo x="21399" y="20532"/>
              <wp:lineTo x="21399" y="0"/>
              <wp:lineTo x="0" y="0"/>
            </wp:wrapPolygon>
          </wp:wrapTight>
          <wp:docPr id="1" name="Grafik 1" descr="C:\Users\local_bie_rietschic\Temp\3\CMIAXIOMA\View_498843b2efb34e7cbd41b2f2ab358a90\GFV-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cal_bie_rietschic\Temp\3\CMIAXIOMA\View_498843b2efb34e7cbd41b2f2ab358a90\GFV-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5250" cy="5010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5358"/>
    <w:multiLevelType w:val="hybridMultilevel"/>
    <w:tmpl w:val="0542F216"/>
    <w:lvl w:ilvl="0" w:tplc="90E6531A">
      <w:start w:val="1"/>
      <w:numFmt w:val="decimal"/>
      <w:lvlText w:val="%1"/>
      <w:lvlJc w:val="left"/>
      <w:pPr>
        <w:ind w:left="170" w:hanging="170"/>
      </w:pPr>
      <w:rPr>
        <w:rFonts w:hint="default"/>
        <w:strike w:val="0"/>
        <w:dstrike w:val="0"/>
        <w:vertAlign w:val="superscript"/>
      </w:rPr>
    </w:lvl>
    <w:lvl w:ilvl="1" w:tplc="79DEABC8" w:tentative="1">
      <w:start w:val="1"/>
      <w:numFmt w:val="lowerLetter"/>
      <w:lvlText w:val="%2."/>
      <w:lvlJc w:val="left"/>
      <w:pPr>
        <w:ind w:left="1440" w:hanging="360"/>
      </w:pPr>
    </w:lvl>
    <w:lvl w:ilvl="2" w:tplc="ACD8745C" w:tentative="1">
      <w:start w:val="1"/>
      <w:numFmt w:val="lowerRoman"/>
      <w:lvlText w:val="%3."/>
      <w:lvlJc w:val="right"/>
      <w:pPr>
        <w:ind w:left="2160" w:hanging="180"/>
      </w:pPr>
    </w:lvl>
    <w:lvl w:ilvl="3" w:tplc="5F48E38E" w:tentative="1">
      <w:start w:val="1"/>
      <w:numFmt w:val="decimal"/>
      <w:lvlText w:val="%4."/>
      <w:lvlJc w:val="left"/>
      <w:pPr>
        <w:ind w:left="2880" w:hanging="360"/>
      </w:pPr>
    </w:lvl>
    <w:lvl w:ilvl="4" w:tplc="6C3CCA70" w:tentative="1">
      <w:start w:val="1"/>
      <w:numFmt w:val="lowerLetter"/>
      <w:lvlText w:val="%5."/>
      <w:lvlJc w:val="left"/>
      <w:pPr>
        <w:ind w:left="3600" w:hanging="360"/>
      </w:pPr>
    </w:lvl>
    <w:lvl w:ilvl="5" w:tplc="CBE22AF6" w:tentative="1">
      <w:start w:val="1"/>
      <w:numFmt w:val="lowerRoman"/>
      <w:lvlText w:val="%6."/>
      <w:lvlJc w:val="right"/>
      <w:pPr>
        <w:ind w:left="4320" w:hanging="180"/>
      </w:pPr>
    </w:lvl>
    <w:lvl w:ilvl="6" w:tplc="945C2A86" w:tentative="1">
      <w:start w:val="1"/>
      <w:numFmt w:val="decimal"/>
      <w:lvlText w:val="%7."/>
      <w:lvlJc w:val="left"/>
      <w:pPr>
        <w:ind w:left="5040" w:hanging="360"/>
      </w:pPr>
    </w:lvl>
    <w:lvl w:ilvl="7" w:tplc="D278F084" w:tentative="1">
      <w:start w:val="1"/>
      <w:numFmt w:val="lowerLetter"/>
      <w:lvlText w:val="%8."/>
      <w:lvlJc w:val="left"/>
      <w:pPr>
        <w:ind w:left="5760" w:hanging="360"/>
      </w:pPr>
    </w:lvl>
    <w:lvl w:ilvl="8" w:tplc="B2E4831C" w:tentative="1">
      <w:start w:val="1"/>
      <w:numFmt w:val="lowerRoman"/>
      <w:lvlText w:val="%9."/>
      <w:lvlJc w:val="right"/>
      <w:pPr>
        <w:ind w:left="6480" w:hanging="180"/>
      </w:pPr>
    </w:lvl>
  </w:abstractNum>
  <w:abstractNum w:abstractNumId="1" w15:restartNumberingAfterBreak="0">
    <w:nsid w:val="043D5911"/>
    <w:multiLevelType w:val="multilevel"/>
    <w:tmpl w:val="9C5E4BCE"/>
    <w:styleLink w:val="Listenummeriertalt"/>
    <w:lvl w:ilvl="0">
      <w:start w:val="1"/>
      <w:numFmt w:val="decimal"/>
      <w:lvlText w:val="%1."/>
      <w:lvlJc w:val="left"/>
      <w:pPr>
        <w:ind w:left="992" w:hanging="425"/>
      </w:pPr>
      <w:rPr>
        <w:rFonts w:hint="default"/>
      </w:rPr>
    </w:lvl>
    <w:lvl w:ilvl="1">
      <w:start w:val="1"/>
      <w:numFmt w:val="lowerLetter"/>
      <w:lvlText w:val="%2."/>
      <w:lvlJc w:val="left"/>
      <w:pPr>
        <w:tabs>
          <w:tab w:val="num" w:pos="1418"/>
        </w:tabs>
        <w:ind w:left="1418" w:hanging="426"/>
      </w:pPr>
      <w:rPr>
        <w:rFonts w:hint="default"/>
      </w:rPr>
    </w:lvl>
    <w:lvl w:ilvl="2">
      <w:start w:val="1"/>
      <w:numFmt w:val="lowerRoman"/>
      <w:lvlText w:val="%3."/>
      <w:lvlJc w:val="left"/>
      <w:pPr>
        <w:ind w:left="1843"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2666D7"/>
    <w:multiLevelType w:val="multilevel"/>
    <w:tmpl w:val="4A74BD5C"/>
    <w:styleLink w:val="ParlamentsdiensteProtokoll"/>
    <w:lvl w:ilvl="0">
      <w:start w:val="1"/>
      <w:numFmt w:val="decimal"/>
      <w:pStyle w:val="berschrift1"/>
      <w:lvlText w:val="%1."/>
      <w:lvlJc w:val="left"/>
      <w:pPr>
        <w:ind w:left="567" w:hanging="567"/>
      </w:pPr>
      <w:rPr>
        <w:rFonts w:ascii="Arial" w:hAnsi="Arial" w:hint="default"/>
        <w:sz w:val="22"/>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tabs>
          <w:tab w:val="num" w:pos="720"/>
        </w:tabs>
        <w:ind w:left="567" w:hanging="567"/>
      </w:pPr>
      <w:rPr>
        <w:rFonts w:hint="default"/>
      </w:rPr>
    </w:lvl>
    <w:lvl w:ilvl="3">
      <w:start w:val="1"/>
      <w:numFmt w:val="decimal"/>
      <w:lvlText w:val="%4."/>
      <w:lvlJc w:val="left"/>
      <w:pPr>
        <w:tabs>
          <w:tab w:val="num" w:pos="1077"/>
        </w:tabs>
        <w:ind w:left="567" w:firstLine="0"/>
      </w:pPr>
      <w:rPr>
        <w:rFonts w:hint="default"/>
      </w:rPr>
    </w:lvl>
    <w:lvl w:ilvl="4">
      <w:start w:val="1"/>
      <w:numFmt w:val="lowerLetter"/>
      <w:lvlText w:val="%5"/>
      <w:lvlJc w:val="left"/>
      <w:pPr>
        <w:ind w:left="1701" w:hanging="567"/>
      </w:pPr>
      <w:rPr>
        <w:rFonts w:hint="default"/>
      </w:rPr>
    </w:lvl>
    <w:lvl w:ilvl="5">
      <w:start w:val="1"/>
      <w:numFmt w:val="lowerRoman"/>
      <w:lvlText w:val="%6"/>
      <w:lvlJc w:val="left"/>
      <w:pPr>
        <w:ind w:left="2268"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EB3698"/>
    <w:multiLevelType w:val="hybridMultilevel"/>
    <w:tmpl w:val="2264D520"/>
    <w:lvl w:ilvl="0" w:tplc="BD444ACE">
      <w:start w:val="1"/>
      <w:numFmt w:val="decimal"/>
      <w:lvlText w:val="%1"/>
      <w:lvlJc w:val="left"/>
      <w:pPr>
        <w:ind w:left="170" w:hanging="170"/>
      </w:pPr>
      <w:rPr>
        <w:rFonts w:hint="default"/>
        <w:strike w:val="0"/>
        <w:dstrike w:val="0"/>
        <w:vertAlign w:val="superscript"/>
      </w:rPr>
    </w:lvl>
    <w:lvl w:ilvl="1" w:tplc="1B9A44E2" w:tentative="1">
      <w:start w:val="1"/>
      <w:numFmt w:val="lowerLetter"/>
      <w:lvlText w:val="%2."/>
      <w:lvlJc w:val="left"/>
      <w:pPr>
        <w:ind w:left="1440" w:hanging="360"/>
      </w:pPr>
    </w:lvl>
    <w:lvl w:ilvl="2" w:tplc="FA80907A" w:tentative="1">
      <w:start w:val="1"/>
      <w:numFmt w:val="lowerRoman"/>
      <w:lvlText w:val="%3."/>
      <w:lvlJc w:val="right"/>
      <w:pPr>
        <w:ind w:left="2160" w:hanging="180"/>
      </w:pPr>
    </w:lvl>
    <w:lvl w:ilvl="3" w:tplc="421E0804" w:tentative="1">
      <w:start w:val="1"/>
      <w:numFmt w:val="decimal"/>
      <w:lvlText w:val="%4."/>
      <w:lvlJc w:val="left"/>
      <w:pPr>
        <w:ind w:left="2880" w:hanging="360"/>
      </w:pPr>
    </w:lvl>
    <w:lvl w:ilvl="4" w:tplc="F86E2CDA" w:tentative="1">
      <w:start w:val="1"/>
      <w:numFmt w:val="lowerLetter"/>
      <w:lvlText w:val="%5."/>
      <w:lvlJc w:val="left"/>
      <w:pPr>
        <w:ind w:left="3600" w:hanging="360"/>
      </w:pPr>
    </w:lvl>
    <w:lvl w:ilvl="5" w:tplc="2820B746" w:tentative="1">
      <w:start w:val="1"/>
      <w:numFmt w:val="lowerRoman"/>
      <w:lvlText w:val="%6."/>
      <w:lvlJc w:val="right"/>
      <w:pPr>
        <w:ind w:left="4320" w:hanging="180"/>
      </w:pPr>
    </w:lvl>
    <w:lvl w:ilvl="6" w:tplc="7BA274E2" w:tentative="1">
      <w:start w:val="1"/>
      <w:numFmt w:val="decimal"/>
      <w:lvlText w:val="%7."/>
      <w:lvlJc w:val="left"/>
      <w:pPr>
        <w:ind w:left="5040" w:hanging="360"/>
      </w:pPr>
    </w:lvl>
    <w:lvl w:ilvl="7" w:tplc="7B4813F4" w:tentative="1">
      <w:start w:val="1"/>
      <w:numFmt w:val="lowerLetter"/>
      <w:lvlText w:val="%8."/>
      <w:lvlJc w:val="left"/>
      <w:pPr>
        <w:ind w:left="5760" w:hanging="360"/>
      </w:pPr>
    </w:lvl>
    <w:lvl w:ilvl="8" w:tplc="D0668A40" w:tentative="1">
      <w:start w:val="1"/>
      <w:numFmt w:val="lowerRoman"/>
      <w:lvlText w:val="%9."/>
      <w:lvlJc w:val="right"/>
      <w:pPr>
        <w:ind w:left="6480" w:hanging="180"/>
      </w:pPr>
    </w:lvl>
  </w:abstractNum>
  <w:abstractNum w:abstractNumId="4" w15:restartNumberingAfterBreak="0">
    <w:nsid w:val="15D25174"/>
    <w:multiLevelType w:val="multilevel"/>
    <w:tmpl w:val="DCB4AA56"/>
    <w:styleLink w:val="Listeunnummeriertneu"/>
    <w:lvl w:ilvl="0">
      <w:start w:val="1"/>
      <w:numFmt w:val="bullet"/>
      <w:pStyle w:val="Listeunnummeriert"/>
      <w:lvlText w:val="–"/>
      <w:lvlJc w:val="left"/>
      <w:pPr>
        <w:tabs>
          <w:tab w:val="num" w:pos="992"/>
        </w:tabs>
        <w:ind w:left="992" w:hanging="425"/>
      </w:pPr>
      <w:rPr>
        <w:rFonts w:ascii="Arial" w:hAnsi="Arial" w:hint="default"/>
        <w:b w:val="0"/>
        <w:i w:val="0"/>
      </w:rPr>
    </w:lvl>
    <w:lvl w:ilvl="1">
      <w:start w:val="1"/>
      <w:numFmt w:val="bullet"/>
      <w:lvlText w:val="–"/>
      <w:lvlJc w:val="left"/>
      <w:pPr>
        <w:ind w:left="1418" w:hanging="426"/>
      </w:pPr>
      <w:rPr>
        <w:rFonts w:ascii="Arial" w:hAnsi="Arial" w:hint="default"/>
        <w:b w:val="0"/>
        <w:i w:val="0"/>
        <w:sz w:val="22"/>
      </w:rPr>
    </w:lvl>
    <w:lvl w:ilvl="2">
      <w:start w:val="1"/>
      <w:numFmt w:val="bullet"/>
      <w:lvlText w:val="–"/>
      <w:lvlJc w:val="left"/>
      <w:pPr>
        <w:ind w:left="1843" w:hanging="425"/>
      </w:pPr>
      <w:rPr>
        <w:rFonts w:ascii="Arial" w:hAnsi="Arial" w:hint="default"/>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6A4871"/>
    <w:multiLevelType w:val="hybridMultilevel"/>
    <w:tmpl w:val="CE343830"/>
    <w:lvl w:ilvl="0" w:tplc="213C5540">
      <w:start w:val="1"/>
      <w:numFmt w:val="bullet"/>
      <w:lvlText w:val=""/>
      <w:lvlJc w:val="left"/>
      <w:pPr>
        <w:ind w:left="140" w:hanging="140"/>
      </w:pPr>
      <w:rPr>
        <w:rFonts w:ascii="Symbol" w:hAnsi="Symbol" w:hint="default"/>
        <w:w w:val="99"/>
        <w:position w:val="8"/>
        <w:sz w:val="14"/>
        <w:szCs w:val="14"/>
      </w:rPr>
    </w:lvl>
    <w:lvl w:ilvl="1" w:tplc="DFEE5BB8">
      <w:numFmt w:val="bullet"/>
      <w:lvlText w:val=""/>
      <w:lvlJc w:val="left"/>
      <w:pPr>
        <w:ind w:left="856" w:hanging="361"/>
      </w:pPr>
      <w:rPr>
        <w:rFonts w:ascii="Symbol" w:eastAsia="Symbol" w:hAnsi="Symbol" w:cs="Symbol" w:hint="default"/>
        <w:w w:val="100"/>
        <w:sz w:val="22"/>
        <w:szCs w:val="22"/>
      </w:rPr>
    </w:lvl>
    <w:lvl w:ilvl="2" w:tplc="242ADF68">
      <w:numFmt w:val="bullet"/>
      <w:lvlText w:val="•"/>
      <w:lvlJc w:val="left"/>
      <w:pPr>
        <w:ind w:left="1917" w:hanging="361"/>
      </w:pPr>
      <w:rPr>
        <w:rFonts w:hint="default"/>
      </w:rPr>
    </w:lvl>
    <w:lvl w:ilvl="3" w:tplc="2618B33E">
      <w:numFmt w:val="bullet"/>
      <w:lvlText w:val="•"/>
      <w:lvlJc w:val="left"/>
      <w:pPr>
        <w:ind w:left="2970" w:hanging="361"/>
      </w:pPr>
      <w:rPr>
        <w:rFonts w:hint="default"/>
      </w:rPr>
    </w:lvl>
    <w:lvl w:ilvl="4" w:tplc="004CC344">
      <w:numFmt w:val="bullet"/>
      <w:lvlText w:val="•"/>
      <w:lvlJc w:val="left"/>
      <w:pPr>
        <w:ind w:left="4023" w:hanging="361"/>
      </w:pPr>
      <w:rPr>
        <w:rFonts w:hint="default"/>
      </w:rPr>
    </w:lvl>
    <w:lvl w:ilvl="5" w:tplc="7D6E4A0C">
      <w:numFmt w:val="bullet"/>
      <w:lvlText w:val="•"/>
      <w:lvlJc w:val="left"/>
      <w:pPr>
        <w:ind w:left="5076" w:hanging="361"/>
      </w:pPr>
      <w:rPr>
        <w:rFonts w:hint="default"/>
      </w:rPr>
    </w:lvl>
    <w:lvl w:ilvl="6" w:tplc="1C8EF3B8">
      <w:numFmt w:val="bullet"/>
      <w:lvlText w:val="•"/>
      <w:lvlJc w:val="left"/>
      <w:pPr>
        <w:ind w:left="6130" w:hanging="361"/>
      </w:pPr>
      <w:rPr>
        <w:rFonts w:hint="default"/>
      </w:rPr>
    </w:lvl>
    <w:lvl w:ilvl="7" w:tplc="9086CF9E">
      <w:numFmt w:val="bullet"/>
      <w:lvlText w:val="•"/>
      <w:lvlJc w:val="left"/>
      <w:pPr>
        <w:ind w:left="7183" w:hanging="361"/>
      </w:pPr>
      <w:rPr>
        <w:rFonts w:hint="default"/>
      </w:rPr>
    </w:lvl>
    <w:lvl w:ilvl="8" w:tplc="6C5690D6">
      <w:numFmt w:val="bullet"/>
      <w:lvlText w:val="•"/>
      <w:lvlJc w:val="left"/>
      <w:pPr>
        <w:ind w:left="8236" w:hanging="361"/>
      </w:pPr>
      <w:rPr>
        <w:rFonts w:hint="default"/>
      </w:rPr>
    </w:lvl>
  </w:abstractNum>
  <w:abstractNum w:abstractNumId="6" w15:restartNumberingAfterBreak="0">
    <w:nsid w:val="1AB43414"/>
    <w:multiLevelType w:val="multilevel"/>
    <w:tmpl w:val="154C82CE"/>
    <w:styleLink w:val="InhaltsverzeichnisNummern"/>
    <w:lvl w:ilvl="0">
      <w:start w:val="1"/>
      <w:numFmt w:val="decimal"/>
      <w:lvlText w:val="%1"/>
      <w:lvlJc w:val="left"/>
      <w:pPr>
        <w:ind w:left="1276" w:hanging="1276"/>
      </w:pPr>
      <w:rPr>
        <w:rFonts w:hint="default"/>
      </w:rPr>
    </w:lvl>
    <w:lvl w:ilvl="1">
      <w:start w:val="1"/>
      <w:numFmt w:val="decimal"/>
      <w:lvlText w:val="%1.%2."/>
      <w:lvlJc w:val="left"/>
      <w:pPr>
        <w:ind w:left="1276" w:hanging="1276"/>
      </w:pPr>
      <w:rPr>
        <w:rFonts w:hint="default"/>
      </w:rPr>
    </w:lvl>
    <w:lvl w:ilvl="2">
      <w:start w:val="1"/>
      <w:numFmt w:val="decimal"/>
      <w:lvlText w:val="%1.%2.%3"/>
      <w:lvlJc w:val="left"/>
      <w:pPr>
        <w:ind w:left="1276" w:hanging="127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F65605"/>
    <w:multiLevelType w:val="multilevel"/>
    <w:tmpl w:val="1AF80E06"/>
    <w:lvl w:ilvl="0">
      <w:start w:val="1"/>
      <w:numFmt w:val="bullet"/>
      <w:lvlText w:val="–"/>
      <w:lvlJc w:val="left"/>
      <w:pPr>
        <w:tabs>
          <w:tab w:val="num" w:pos="170"/>
        </w:tabs>
        <w:ind w:left="170" w:hanging="17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627256"/>
    <w:multiLevelType w:val="multilevel"/>
    <w:tmpl w:val="0409001F"/>
    <w:styleLink w:val="AktennotizTraktanden"/>
    <w:lvl w:ilvl="0">
      <w:start w:val="1"/>
      <w:numFmt w:val="decimal"/>
      <w:pStyle w:val="Traktandenlist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AE267B"/>
    <w:multiLevelType w:val="hybridMultilevel"/>
    <w:tmpl w:val="D4763E64"/>
    <w:lvl w:ilvl="0" w:tplc="E222F45A">
      <w:start w:val="1"/>
      <w:numFmt w:val="decimal"/>
      <w:lvlText w:val="%1"/>
      <w:lvlJc w:val="left"/>
      <w:pPr>
        <w:ind w:left="140" w:hanging="140"/>
      </w:pPr>
      <w:rPr>
        <w:rFonts w:ascii="Arial" w:eastAsia="Arial" w:hAnsi="Arial" w:cs="Arial" w:hint="default"/>
        <w:w w:val="99"/>
        <w:position w:val="8"/>
        <w:sz w:val="14"/>
        <w:szCs w:val="14"/>
      </w:rPr>
    </w:lvl>
    <w:lvl w:ilvl="1" w:tplc="CC04649E">
      <w:numFmt w:val="bullet"/>
      <w:lvlText w:val=""/>
      <w:lvlJc w:val="left"/>
      <w:pPr>
        <w:ind w:left="856" w:hanging="361"/>
      </w:pPr>
      <w:rPr>
        <w:rFonts w:ascii="Symbol" w:eastAsia="Symbol" w:hAnsi="Symbol" w:cs="Symbol" w:hint="default"/>
        <w:w w:val="100"/>
        <w:sz w:val="22"/>
        <w:szCs w:val="22"/>
      </w:rPr>
    </w:lvl>
    <w:lvl w:ilvl="2" w:tplc="6228FEF2">
      <w:numFmt w:val="bullet"/>
      <w:lvlText w:val="•"/>
      <w:lvlJc w:val="left"/>
      <w:pPr>
        <w:ind w:left="1917" w:hanging="361"/>
      </w:pPr>
      <w:rPr>
        <w:rFonts w:hint="default"/>
      </w:rPr>
    </w:lvl>
    <w:lvl w:ilvl="3" w:tplc="1D582568">
      <w:numFmt w:val="bullet"/>
      <w:lvlText w:val="•"/>
      <w:lvlJc w:val="left"/>
      <w:pPr>
        <w:ind w:left="2970" w:hanging="361"/>
      </w:pPr>
      <w:rPr>
        <w:rFonts w:hint="default"/>
      </w:rPr>
    </w:lvl>
    <w:lvl w:ilvl="4" w:tplc="8B8C0030">
      <w:numFmt w:val="bullet"/>
      <w:lvlText w:val="•"/>
      <w:lvlJc w:val="left"/>
      <w:pPr>
        <w:ind w:left="4023" w:hanging="361"/>
      </w:pPr>
      <w:rPr>
        <w:rFonts w:hint="default"/>
      </w:rPr>
    </w:lvl>
    <w:lvl w:ilvl="5" w:tplc="AB86BD36">
      <w:numFmt w:val="bullet"/>
      <w:lvlText w:val="•"/>
      <w:lvlJc w:val="left"/>
      <w:pPr>
        <w:ind w:left="5076" w:hanging="361"/>
      </w:pPr>
      <w:rPr>
        <w:rFonts w:hint="default"/>
      </w:rPr>
    </w:lvl>
    <w:lvl w:ilvl="6" w:tplc="436ABF24">
      <w:numFmt w:val="bullet"/>
      <w:lvlText w:val="•"/>
      <w:lvlJc w:val="left"/>
      <w:pPr>
        <w:ind w:left="6130" w:hanging="361"/>
      </w:pPr>
      <w:rPr>
        <w:rFonts w:hint="default"/>
      </w:rPr>
    </w:lvl>
    <w:lvl w:ilvl="7" w:tplc="792053EA">
      <w:numFmt w:val="bullet"/>
      <w:lvlText w:val="•"/>
      <w:lvlJc w:val="left"/>
      <w:pPr>
        <w:ind w:left="7183" w:hanging="361"/>
      </w:pPr>
      <w:rPr>
        <w:rFonts w:hint="default"/>
      </w:rPr>
    </w:lvl>
    <w:lvl w:ilvl="8" w:tplc="C692879C">
      <w:numFmt w:val="bullet"/>
      <w:lvlText w:val="•"/>
      <w:lvlJc w:val="left"/>
      <w:pPr>
        <w:ind w:left="8236" w:hanging="361"/>
      </w:pPr>
      <w:rPr>
        <w:rFonts w:hint="default"/>
      </w:rPr>
    </w:lvl>
  </w:abstractNum>
  <w:abstractNum w:abstractNumId="10" w15:restartNumberingAfterBreak="0">
    <w:nsid w:val="1F23360E"/>
    <w:multiLevelType w:val="hybridMultilevel"/>
    <w:tmpl w:val="E3C6B502"/>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2B653E8"/>
    <w:multiLevelType w:val="hybridMultilevel"/>
    <w:tmpl w:val="E13E976C"/>
    <w:lvl w:ilvl="0" w:tplc="AD786DC0">
      <w:start w:val="1"/>
      <w:numFmt w:val="upperLetter"/>
      <w:lvlText w:val="%1."/>
      <w:lvlJc w:val="left"/>
      <w:pPr>
        <w:ind w:left="360" w:hanging="360"/>
      </w:pPr>
      <w:rPr>
        <w:rFonts w:hint="default"/>
        <w:b/>
        <w:sz w:val="28"/>
        <w:szCs w:val="28"/>
      </w:rPr>
    </w:lvl>
    <w:lvl w:ilvl="1" w:tplc="BEAE8AF0" w:tentative="1">
      <w:start w:val="1"/>
      <w:numFmt w:val="lowerLetter"/>
      <w:lvlText w:val="%2."/>
      <w:lvlJc w:val="left"/>
      <w:pPr>
        <w:ind w:left="1080" w:hanging="360"/>
      </w:pPr>
    </w:lvl>
    <w:lvl w:ilvl="2" w:tplc="95AEB5BA" w:tentative="1">
      <w:start w:val="1"/>
      <w:numFmt w:val="lowerRoman"/>
      <w:lvlText w:val="%3."/>
      <w:lvlJc w:val="right"/>
      <w:pPr>
        <w:ind w:left="1800" w:hanging="180"/>
      </w:pPr>
    </w:lvl>
    <w:lvl w:ilvl="3" w:tplc="29085F72" w:tentative="1">
      <w:start w:val="1"/>
      <w:numFmt w:val="decimal"/>
      <w:lvlText w:val="%4."/>
      <w:lvlJc w:val="left"/>
      <w:pPr>
        <w:ind w:left="2520" w:hanging="360"/>
      </w:pPr>
    </w:lvl>
    <w:lvl w:ilvl="4" w:tplc="13C85980" w:tentative="1">
      <w:start w:val="1"/>
      <w:numFmt w:val="lowerLetter"/>
      <w:lvlText w:val="%5."/>
      <w:lvlJc w:val="left"/>
      <w:pPr>
        <w:ind w:left="3240" w:hanging="360"/>
      </w:pPr>
    </w:lvl>
    <w:lvl w:ilvl="5" w:tplc="1C868C6C" w:tentative="1">
      <w:start w:val="1"/>
      <w:numFmt w:val="lowerRoman"/>
      <w:lvlText w:val="%6."/>
      <w:lvlJc w:val="right"/>
      <w:pPr>
        <w:ind w:left="3960" w:hanging="180"/>
      </w:pPr>
    </w:lvl>
    <w:lvl w:ilvl="6" w:tplc="9D4285E2" w:tentative="1">
      <w:start w:val="1"/>
      <w:numFmt w:val="decimal"/>
      <w:lvlText w:val="%7."/>
      <w:lvlJc w:val="left"/>
      <w:pPr>
        <w:ind w:left="4680" w:hanging="360"/>
      </w:pPr>
    </w:lvl>
    <w:lvl w:ilvl="7" w:tplc="9B3A94E4" w:tentative="1">
      <w:start w:val="1"/>
      <w:numFmt w:val="lowerLetter"/>
      <w:lvlText w:val="%8."/>
      <w:lvlJc w:val="left"/>
      <w:pPr>
        <w:ind w:left="5400" w:hanging="360"/>
      </w:pPr>
    </w:lvl>
    <w:lvl w:ilvl="8" w:tplc="8C749FB8" w:tentative="1">
      <w:start w:val="1"/>
      <w:numFmt w:val="lowerRoman"/>
      <w:lvlText w:val="%9."/>
      <w:lvlJc w:val="right"/>
      <w:pPr>
        <w:ind w:left="6120" w:hanging="180"/>
      </w:pPr>
    </w:lvl>
  </w:abstractNum>
  <w:abstractNum w:abstractNumId="12" w15:restartNumberingAfterBreak="0">
    <w:nsid w:val="26791ACA"/>
    <w:multiLevelType w:val="hybridMultilevel"/>
    <w:tmpl w:val="DC8220E6"/>
    <w:lvl w:ilvl="0" w:tplc="4F2234DE">
      <w:start w:val="1"/>
      <w:numFmt w:val="decimal"/>
      <w:lvlText w:val="%1"/>
      <w:lvlJc w:val="left"/>
      <w:pPr>
        <w:ind w:left="170" w:hanging="170"/>
      </w:pPr>
      <w:rPr>
        <w:rFonts w:hint="default"/>
        <w:strike w:val="0"/>
        <w:dstrike w:val="0"/>
        <w:vertAlign w:val="superscript"/>
      </w:rPr>
    </w:lvl>
    <w:lvl w:ilvl="1" w:tplc="A09ACF64" w:tentative="1">
      <w:start w:val="1"/>
      <w:numFmt w:val="lowerLetter"/>
      <w:lvlText w:val="%2."/>
      <w:lvlJc w:val="left"/>
      <w:pPr>
        <w:ind w:left="1440" w:hanging="360"/>
      </w:pPr>
    </w:lvl>
    <w:lvl w:ilvl="2" w:tplc="DBD62A4E" w:tentative="1">
      <w:start w:val="1"/>
      <w:numFmt w:val="lowerRoman"/>
      <w:lvlText w:val="%3."/>
      <w:lvlJc w:val="right"/>
      <w:pPr>
        <w:ind w:left="2160" w:hanging="180"/>
      </w:pPr>
    </w:lvl>
    <w:lvl w:ilvl="3" w:tplc="6F6CEEAC" w:tentative="1">
      <w:start w:val="1"/>
      <w:numFmt w:val="decimal"/>
      <w:lvlText w:val="%4."/>
      <w:lvlJc w:val="left"/>
      <w:pPr>
        <w:ind w:left="2880" w:hanging="360"/>
      </w:pPr>
    </w:lvl>
    <w:lvl w:ilvl="4" w:tplc="BF12A938" w:tentative="1">
      <w:start w:val="1"/>
      <w:numFmt w:val="lowerLetter"/>
      <w:lvlText w:val="%5."/>
      <w:lvlJc w:val="left"/>
      <w:pPr>
        <w:ind w:left="3600" w:hanging="360"/>
      </w:pPr>
    </w:lvl>
    <w:lvl w:ilvl="5" w:tplc="3A0C4064" w:tentative="1">
      <w:start w:val="1"/>
      <w:numFmt w:val="lowerRoman"/>
      <w:lvlText w:val="%6."/>
      <w:lvlJc w:val="right"/>
      <w:pPr>
        <w:ind w:left="4320" w:hanging="180"/>
      </w:pPr>
    </w:lvl>
    <w:lvl w:ilvl="6" w:tplc="B0786A3C" w:tentative="1">
      <w:start w:val="1"/>
      <w:numFmt w:val="decimal"/>
      <w:lvlText w:val="%7."/>
      <w:lvlJc w:val="left"/>
      <w:pPr>
        <w:ind w:left="5040" w:hanging="360"/>
      </w:pPr>
    </w:lvl>
    <w:lvl w:ilvl="7" w:tplc="DA8016F0" w:tentative="1">
      <w:start w:val="1"/>
      <w:numFmt w:val="lowerLetter"/>
      <w:lvlText w:val="%8."/>
      <w:lvlJc w:val="left"/>
      <w:pPr>
        <w:ind w:left="5760" w:hanging="360"/>
      </w:pPr>
    </w:lvl>
    <w:lvl w:ilvl="8" w:tplc="69A42AEE" w:tentative="1">
      <w:start w:val="1"/>
      <w:numFmt w:val="lowerRoman"/>
      <w:lvlText w:val="%9."/>
      <w:lvlJc w:val="right"/>
      <w:pPr>
        <w:ind w:left="6480" w:hanging="180"/>
      </w:pPr>
    </w:lvl>
  </w:abstractNum>
  <w:abstractNum w:abstractNumId="13" w15:restartNumberingAfterBreak="0">
    <w:nsid w:val="27842F5A"/>
    <w:multiLevelType w:val="hybridMultilevel"/>
    <w:tmpl w:val="3642E64A"/>
    <w:lvl w:ilvl="0" w:tplc="67A23E74">
      <w:start w:val="2"/>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9751837"/>
    <w:multiLevelType w:val="multilevel"/>
    <w:tmpl w:val="6A7C87B8"/>
    <w:lvl w:ilvl="0">
      <w:start w:val="1"/>
      <w:numFmt w:val="bullet"/>
      <w:lvlText w:val="–"/>
      <w:lvlJc w:val="left"/>
      <w:pPr>
        <w:tabs>
          <w:tab w:val="num" w:pos="992"/>
        </w:tabs>
        <w:ind w:left="992" w:hanging="425"/>
      </w:pPr>
      <w:rPr>
        <w:rFonts w:ascii="Arial" w:hAnsi="Arial" w:hint="default"/>
        <w:b w:val="0"/>
        <w:i w:val="0"/>
      </w:rPr>
    </w:lvl>
    <w:lvl w:ilvl="1">
      <w:start w:val="1"/>
      <w:numFmt w:val="bullet"/>
      <w:lvlText w:val="–"/>
      <w:lvlJc w:val="left"/>
      <w:pPr>
        <w:ind w:left="1418" w:hanging="426"/>
      </w:pPr>
      <w:rPr>
        <w:rFonts w:ascii="Arial" w:hAnsi="Arial" w:hint="default"/>
        <w:b w:val="0"/>
        <w:i w:val="0"/>
        <w:sz w:val="22"/>
      </w:rPr>
    </w:lvl>
    <w:lvl w:ilvl="2">
      <w:start w:val="1"/>
      <w:numFmt w:val="bullet"/>
      <w:lvlText w:val="–"/>
      <w:lvlJc w:val="left"/>
      <w:pPr>
        <w:ind w:left="1843" w:hanging="425"/>
      </w:pPr>
      <w:rPr>
        <w:rFonts w:ascii="Arial" w:hAnsi="Arial" w:hint="default"/>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D279CC"/>
    <w:multiLevelType w:val="hybridMultilevel"/>
    <w:tmpl w:val="0542F216"/>
    <w:lvl w:ilvl="0" w:tplc="878204D8">
      <w:start w:val="1"/>
      <w:numFmt w:val="decimal"/>
      <w:lvlText w:val="%1"/>
      <w:lvlJc w:val="left"/>
      <w:pPr>
        <w:ind w:left="170" w:hanging="170"/>
      </w:pPr>
      <w:rPr>
        <w:rFonts w:hint="default"/>
        <w:strike w:val="0"/>
        <w:dstrike w:val="0"/>
        <w:vertAlign w:val="superscript"/>
      </w:rPr>
    </w:lvl>
    <w:lvl w:ilvl="1" w:tplc="1FE8526E" w:tentative="1">
      <w:start w:val="1"/>
      <w:numFmt w:val="lowerLetter"/>
      <w:lvlText w:val="%2."/>
      <w:lvlJc w:val="left"/>
      <w:pPr>
        <w:ind w:left="1440" w:hanging="360"/>
      </w:pPr>
    </w:lvl>
    <w:lvl w:ilvl="2" w:tplc="A96C3B90" w:tentative="1">
      <w:start w:val="1"/>
      <w:numFmt w:val="lowerRoman"/>
      <w:lvlText w:val="%3."/>
      <w:lvlJc w:val="right"/>
      <w:pPr>
        <w:ind w:left="2160" w:hanging="180"/>
      </w:pPr>
    </w:lvl>
    <w:lvl w:ilvl="3" w:tplc="51580AA4" w:tentative="1">
      <w:start w:val="1"/>
      <w:numFmt w:val="decimal"/>
      <w:lvlText w:val="%4."/>
      <w:lvlJc w:val="left"/>
      <w:pPr>
        <w:ind w:left="2880" w:hanging="360"/>
      </w:pPr>
    </w:lvl>
    <w:lvl w:ilvl="4" w:tplc="A64A111A" w:tentative="1">
      <w:start w:val="1"/>
      <w:numFmt w:val="lowerLetter"/>
      <w:lvlText w:val="%5."/>
      <w:lvlJc w:val="left"/>
      <w:pPr>
        <w:ind w:left="3600" w:hanging="360"/>
      </w:pPr>
    </w:lvl>
    <w:lvl w:ilvl="5" w:tplc="684C8DDA" w:tentative="1">
      <w:start w:val="1"/>
      <w:numFmt w:val="lowerRoman"/>
      <w:lvlText w:val="%6."/>
      <w:lvlJc w:val="right"/>
      <w:pPr>
        <w:ind w:left="4320" w:hanging="180"/>
      </w:pPr>
    </w:lvl>
    <w:lvl w:ilvl="6" w:tplc="57A85334" w:tentative="1">
      <w:start w:val="1"/>
      <w:numFmt w:val="decimal"/>
      <w:lvlText w:val="%7."/>
      <w:lvlJc w:val="left"/>
      <w:pPr>
        <w:ind w:left="5040" w:hanging="360"/>
      </w:pPr>
    </w:lvl>
    <w:lvl w:ilvl="7" w:tplc="7CE846CC" w:tentative="1">
      <w:start w:val="1"/>
      <w:numFmt w:val="lowerLetter"/>
      <w:lvlText w:val="%8."/>
      <w:lvlJc w:val="left"/>
      <w:pPr>
        <w:ind w:left="5760" w:hanging="360"/>
      </w:pPr>
    </w:lvl>
    <w:lvl w:ilvl="8" w:tplc="5866D7FE" w:tentative="1">
      <w:start w:val="1"/>
      <w:numFmt w:val="lowerRoman"/>
      <w:lvlText w:val="%9."/>
      <w:lvlJc w:val="right"/>
      <w:pPr>
        <w:ind w:left="6480" w:hanging="180"/>
      </w:pPr>
    </w:lvl>
  </w:abstractNum>
  <w:abstractNum w:abstractNumId="16" w15:restartNumberingAfterBreak="0">
    <w:nsid w:val="34625522"/>
    <w:multiLevelType w:val="multilevel"/>
    <w:tmpl w:val="4A74BD5C"/>
    <w:numStyleLink w:val="ParlamentsdiensteProtokoll"/>
  </w:abstractNum>
  <w:abstractNum w:abstractNumId="17" w15:restartNumberingAfterBreak="0">
    <w:nsid w:val="376970B7"/>
    <w:multiLevelType w:val="hybridMultilevel"/>
    <w:tmpl w:val="4DC844C0"/>
    <w:lvl w:ilvl="0" w:tplc="FBC6676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91636AE"/>
    <w:multiLevelType w:val="multilevel"/>
    <w:tmpl w:val="6EE48576"/>
    <w:lvl w:ilvl="0">
      <w:start w:val="1"/>
      <w:numFmt w:val="decimal"/>
      <w:pStyle w:val="GesetzesnderungAbsatz"/>
      <w:lvlText w:val="%1"/>
      <w:lvlJc w:val="left"/>
      <w:pPr>
        <w:ind w:left="170" w:hanging="170"/>
      </w:pPr>
      <w:rPr>
        <w:rFonts w:ascii="Arial" w:hAnsi="Arial" w:cs="Times New Roman" w:hint="default"/>
        <w:sz w:val="20"/>
        <w:vertAlign w:val="superscrip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B02BE9"/>
    <w:multiLevelType w:val="hybridMultilevel"/>
    <w:tmpl w:val="5DBC6756"/>
    <w:lvl w:ilvl="0" w:tplc="AFC6D1A6">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2A02BA1"/>
    <w:multiLevelType w:val="hybridMultilevel"/>
    <w:tmpl w:val="2264D520"/>
    <w:lvl w:ilvl="0" w:tplc="AA1806B8">
      <w:start w:val="1"/>
      <w:numFmt w:val="decimal"/>
      <w:lvlText w:val="%1"/>
      <w:lvlJc w:val="left"/>
      <w:pPr>
        <w:ind w:left="170" w:hanging="170"/>
      </w:pPr>
      <w:rPr>
        <w:rFonts w:hint="default"/>
        <w:strike w:val="0"/>
        <w:dstrike w:val="0"/>
        <w:vertAlign w:val="superscript"/>
      </w:rPr>
    </w:lvl>
    <w:lvl w:ilvl="1" w:tplc="3BC4432A" w:tentative="1">
      <w:start w:val="1"/>
      <w:numFmt w:val="lowerLetter"/>
      <w:lvlText w:val="%2."/>
      <w:lvlJc w:val="left"/>
      <w:pPr>
        <w:ind w:left="1440" w:hanging="360"/>
      </w:pPr>
    </w:lvl>
    <w:lvl w:ilvl="2" w:tplc="EDEAC180" w:tentative="1">
      <w:start w:val="1"/>
      <w:numFmt w:val="lowerRoman"/>
      <w:lvlText w:val="%3."/>
      <w:lvlJc w:val="right"/>
      <w:pPr>
        <w:ind w:left="2160" w:hanging="180"/>
      </w:pPr>
    </w:lvl>
    <w:lvl w:ilvl="3" w:tplc="F6A80BBA" w:tentative="1">
      <w:start w:val="1"/>
      <w:numFmt w:val="decimal"/>
      <w:lvlText w:val="%4."/>
      <w:lvlJc w:val="left"/>
      <w:pPr>
        <w:ind w:left="2880" w:hanging="360"/>
      </w:pPr>
    </w:lvl>
    <w:lvl w:ilvl="4" w:tplc="1C1CE24E" w:tentative="1">
      <w:start w:val="1"/>
      <w:numFmt w:val="lowerLetter"/>
      <w:lvlText w:val="%5."/>
      <w:lvlJc w:val="left"/>
      <w:pPr>
        <w:ind w:left="3600" w:hanging="360"/>
      </w:pPr>
    </w:lvl>
    <w:lvl w:ilvl="5" w:tplc="5D42026C" w:tentative="1">
      <w:start w:val="1"/>
      <w:numFmt w:val="lowerRoman"/>
      <w:lvlText w:val="%6."/>
      <w:lvlJc w:val="right"/>
      <w:pPr>
        <w:ind w:left="4320" w:hanging="180"/>
      </w:pPr>
    </w:lvl>
    <w:lvl w:ilvl="6" w:tplc="4DF4EF5E" w:tentative="1">
      <w:start w:val="1"/>
      <w:numFmt w:val="decimal"/>
      <w:lvlText w:val="%7."/>
      <w:lvlJc w:val="left"/>
      <w:pPr>
        <w:ind w:left="5040" w:hanging="360"/>
      </w:pPr>
    </w:lvl>
    <w:lvl w:ilvl="7" w:tplc="B130112A" w:tentative="1">
      <w:start w:val="1"/>
      <w:numFmt w:val="lowerLetter"/>
      <w:lvlText w:val="%8."/>
      <w:lvlJc w:val="left"/>
      <w:pPr>
        <w:ind w:left="5760" w:hanging="360"/>
      </w:pPr>
    </w:lvl>
    <w:lvl w:ilvl="8" w:tplc="CB120CA2" w:tentative="1">
      <w:start w:val="1"/>
      <w:numFmt w:val="lowerRoman"/>
      <w:lvlText w:val="%9."/>
      <w:lvlJc w:val="right"/>
      <w:pPr>
        <w:ind w:left="6480" w:hanging="180"/>
      </w:pPr>
    </w:lvl>
  </w:abstractNum>
  <w:abstractNum w:abstractNumId="21" w15:restartNumberingAfterBreak="0">
    <w:nsid w:val="43611B37"/>
    <w:multiLevelType w:val="hybridMultilevel"/>
    <w:tmpl w:val="D7EE88C4"/>
    <w:lvl w:ilvl="0" w:tplc="2794A06A">
      <w:start w:val="1"/>
      <w:numFmt w:val="decimal"/>
      <w:lvlText w:val="§ %1"/>
      <w:lvlJc w:val="left"/>
      <w:pPr>
        <w:ind w:left="360" w:hanging="360"/>
      </w:pPr>
      <w:rPr>
        <w:rFonts w:hint="default"/>
        <w:b/>
      </w:rPr>
    </w:lvl>
    <w:lvl w:ilvl="1" w:tplc="AD28805A" w:tentative="1">
      <w:start w:val="1"/>
      <w:numFmt w:val="lowerLetter"/>
      <w:lvlText w:val="%2."/>
      <w:lvlJc w:val="left"/>
      <w:pPr>
        <w:ind w:left="1080" w:hanging="360"/>
      </w:pPr>
    </w:lvl>
    <w:lvl w:ilvl="2" w:tplc="769CE3C8" w:tentative="1">
      <w:start w:val="1"/>
      <w:numFmt w:val="lowerRoman"/>
      <w:lvlText w:val="%3."/>
      <w:lvlJc w:val="right"/>
      <w:pPr>
        <w:ind w:left="1800" w:hanging="180"/>
      </w:pPr>
    </w:lvl>
    <w:lvl w:ilvl="3" w:tplc="17022C4A" w:tentative="1">
      <w:start w:val="1"/>
      <w:numFmt w:val="decimal"/>
      <w:lvlText w:val="%4."/>
      <w:lvlJc w:val="left"/>
      <w:pPr>
        <w:ind w:left="2520" w:hanging="360"/>
      </w:pPr>
    </w:lvl>
    <w:lvl w:ilvl="4" w:tplc="74B6D68C" w:tentative="1">
      <w:start w:val="1"/>
      <w:numFmt w:val="lowerLetter"/>
      <w:lvlText w:val="%5."/>
      <w:lvlJc w:val="left"/>
      <w:pPr>
        <w:ind w:left="3240" w:hanging="360"/>
      </w:pPr>
    </w:lvl>
    <w:lvl w:ilvl="5" w:tplc="31B2D934" w:tentative="1">
      <w:start w:val="1"/>
      <w:numFmt w:val="lowerRoman"/>
      <w:lvlText w:val="%6."/>
      <w:lvlJc w:val="right"/>
      <w:pPr>
        <w:ind w:left="3960" w:hanging="180"/>
      </w:pPr>
    </w:lvl>
    <w:lvl w:ilvl="6" w:tplc="1786EF62" w:tentative="1">
      <w:start w:val="1"/>
      <w:numFmt w:val="decimal"/>
      <w:lvlText w:val="%7."/>
      <w:lvlJc w:val="left"/>
      <w:pPr>
        <w:ind w:left="4680" w:hanging="360"/>
      </w:pPr>
    </w:lvl>
    <w:lvl w:ilvl="7" w:tplc="26B6735C" w:tentative="1">
      <w:start w:val="1"/>
      <w:numFmt w:val="lowerLetter"/>
      <w:lvlText w:val="%8."/>
      <w:lvlJc w:val="left"/>
      <w:pPr>
        <w:ind w:left="5400" w:hanging="360"/>
      </w:pPr>
    </w:lvl>
    <w:lvl w:ilvl="8" w:tplc="F2786AEE" w:tentative="1">
      <w:start w:val="1"/>
      <w:numFmt w:val="lowerRoman"/>
      <w:lvlText w:val="%9."/>
      <w:lvlJc w:val="right"/>
      <w:pPr>
        <w:ind w:left="6120" w:hanging="180"/>
      </w:pPr>
    </w:lvl>
  </w:abstractNum>
  <w:abstractNum w:abstractNumId="22" w15:restartNumberingAfterBreak="0">
    <w:nsid w:val="43AB366F"/>
    <w:multiLevelType w:val="hybridMultilevel"/>
    <w:tmpl w:val="0958EA1A"/>
    <w:lvl w:ilvl="0" w:tplc="433E3004">
      <w:start w:val="1"/>
      <w:numFmt w:val="bullet"/>
      <w:lvlText w:val="–"/>
      <w:lvlJc w:val="left"/>
      <w:pPr>
        <w:tabs>
          <w:tab w:val="num" w:pos="340"/>
        </w:tabs>
        <w:ind w:left="340" w:hanging="340"/>
      </w:pPr>
      <w:rPr>
        <w:rFonts w:ascii="Arial" w:hAnsi="Arial" w:hint="default"/>
      </w:rPr>
    </w:lvl>
    <w:lvl w:ilvl="1" w:tplc="95A2E242" w:tentative="1">
      <w:start w:val="1"/>
      <w:numFmt w:val="bullet"/>
      <w:lvlText w:val="o"/>
      <w:lvlJc w:val="left"/>
      <w:pPr>
        <w:ind w:left="1440" w:hanging="360"/>
      </w:pPr>
      <w:rPr>
        <w:rFonts w:ascii="Courier New" w:hAnsi="Courier New" w:hint="default"/>
      </w:rPr>
    </w:lvl>
    <w:lvl w:ilvl="2" w:tplc="989043A6" w:tentative="1">
      <w:start w:val="1"/>
      <w:numFmt w:val="bullet"/>
      <w:lvlText w:val=""/>
      <w:lvlJc w:val="left"/>
      <w:pPr>
        <w:ind w:left="2160" w:hanging="360"/>
      </w:pPr>
      <w:rPr>
        <w:rFonts w:ascii="Wingdings" w:hAnsi="Wingdings" w:hint="default"/>
      </w:rPr>
    </w:lvl>
    <w:lvl w:ilvl="3" w:tplc="8B9ECBC6" w:tentative="1">
      <w:start w:val="1"/>
      <w:numFmt w:val="bullet"/>
      <w:lvlText w:val=""/>
      <w:lvlJc w:val="left"/>
      <w:pPr>
        <w:ind w:left="2880" w:hanging="360"/>
      </w:pPr>
      <w:rPr>
        <w:rFonts w:ascii="Symbol" w:hAnsi="Symbol" w:hint="default"/>
      </w:rPr>
    </w:lvl>
    <w:lvl w:ilvl="4" w:tplc="E99477A2" w:tentative="1">
      <w:start w:val="1"/>
      <w:numFmt w:val="bullet"/>
      <w:lvlText w:val="o"/>
      <w:lvlJc w:val="left"/>
      <w:pPr>
        <w:ind w:left="3600" w:hanging="360"/>
      </w:pPr>
      <w:rPr>
        <w:rFonts w:ascii="Courier New" w:hAnsi="Courier New" w:hint="default"/>
      </w:rPr>
    </w:lvl>
    <w:lvl w:ilvl="5" w:tplc="23A03632" w:tentative="1">
      <w:start w:val="1"/>
      <w:numFmt w:val="bullet"/>
      <w:lvlText w:val=""/>
      <w:lvlJc w:val="left"/>
      <w:pPr>
        <w:ind w:left="4320" w:hanging="360"/>
      </w:pPr>
      <w:rPr>
        <w:rFonts w:ascii="Wingdings" w:hAnsi="Wingdings" w:hint="default"/>
      </w:rPr>
    </w:lvl>
    <w:lvl w:ilvl="6" w:tplc="859412AE" w:tentative="1">
      <w:start w:val="1"/>
      <w:numFmt w:val="bullet"/>
      <w:lvlText w:val=""/>
      <w:lvlJc w:val="left"/>
      <w:pPr>
        <w:ind w:left="5040" w:hanging="360"/>
      </w:pPr>
      <w:rPr>
        <w:rFonts w:ascii="Symbol" w:hAnsi="Symbol" w:hint="default"/>
      </w:rPr>
    </w:lvl>
    <w:lvl w:ilvl="7" w:tplc="F32A1692" w:tentative="1">
      <w:start w:val="1"/>
      <w:numFmt w:val="bullet"/>
      <w:lvlText w:val="o"/>
      <w:lvlJc w:val="left"/>
      <w:pPr>
        <w:ind w:left="5760" w:hanging="360"/>
      </w:pPr>
      <w:rPr>
        <w:rFonts w:ascii="Courier New" w:hAnsi="Courier New" w:hint="default"/>
      </w:rPr>
    </w:lvl>
    <w:lvl w:ilvl="8" w:tplc="5F98B038" w:tentative="1">
      <w:start w:val="1"/>
      <w:numFmt w:val="bullet"/>
      <w:lvlText w:val=""/>
      <w:lvlJc w:val="left"/>
      <w:pPr>
        <w:ind w:left="6480" w:hanging="360"/>
      </w:pPr>
      <w:rPr>
        <w:rFonts w:ascii="Wingdings" w:hAnsi="Wingdings" w:hint="default"/>
      </w:rPr>
    </w:lvl>
  </w:abstractNum>
  <w:abstractNum w:abstractNumId="23" w15:restartNumberingAfterBreak="0">
    <w:nsid w:val="47084C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5567E4"/>
    <w:multiLevelType w:val="multilevel"/>
    <w:tmpl w:val="0409001F"/>
    <w:numStyleLink w:val="AktennotizTraktanden"/>
  </w:abstractNum>
  <w:abstractNum w:abstractNumId="25" w15:restartNumberingAfterBreak="0">
    <w:nsid w:val="4AE90E59"/>
    <w:multiLevelType w:val="hybridMultilevel"/>
    <w:tmpl w:val="2264D520"/>
    <w:lvl w:ilvl="0" w:tplc="034CE7FA">
      <w:start w:val="1"/>
      <w:numFmt w:val="decimal"/>
      <w:lvlText w:val="%1"/>
      <w:lvlJc w:val="left"/>
      <w:pPr>
        <w:ind w:left="170" w:hanging="170"/>
      </w:pPr>
      <w:rPr>
        <w:rFonts w:hint="default"/>
        <w:strike w:val="0"/>
        <w:dstrike w:val="0"/>
        <w:vertAlign w:val="superscript"/>
      </w:rPr>
    </w:lvl>
    <w:lvl w:ilvl="1" w:tplc="17DA5C72" w:tentative="1">
      <w:start w:val="1"/>
      <w:numFmt w:val="lowerLetter"/>
      <w:lvlText w:val="%2."/>
      <w:lvlJc w:val="left"/>
      <w:pPr>
        <w:ind w:left="1440" w:hanging="360"/>
      </w:pPr>
    </w:lvl>
    <w:lvl w:ilvl="2" w:tplc="184ED544" w:tentative="1">
      <w:start w:val="1"/>
      <w:numFmt w:val="lowerRoman"/>
      <w:lvlText w:val="%3."/>
      <w:lvlJc w:val="right"/>
      <w:pPr>
        <w:ind w:left="2160" w:hanging="180"/>
      </w:pPr>
    </w:lvl>
    <w:lvl w:ilvl="3" w:tplc="33163C0E" w:tentative="1">
      <w:start w:val="1"/>
      <w:numFmt w:val="decimal"/>
      <w:lvlText w:val="%4."/>
      <w:lvlJc w:val="left"/>
      <w:pPr>
        <w:ind w:left="2880" w:hanging="360"/>
      </w:pPr>
    </w:lvl>
    <w:lvl w:ilvl="4" w:tplc="7910E40A" w:tentative="1">
      <w:start w:val="1"/>
      <w:numFmt w:val="lowerLetter"/>
      <w:lvlText w:val="%5."/>
      <w:lvlJc w:val="left"/>
      <w:pPr>
        <w:ind w:left="3600" w:hanging="360"/>
      </w:pPr>
    </w:lvl>
    <w:lvl w:ilvl="5" w:tplc="DAE8882E" w:tentative="1">
      <w:start w:val="1"/>
      <w:numFmt w:val="lowerRoman"/>
      <w:lvlText w:val="%6."/>
      <w:lvlJc w:val="right"/>
      <w:pPr>
        <w:ind w:left="4320" w:hanging="180"/>
      </w:pPr>
    </w:lvl>
    <w:lvl w:ilvl="6" w:tplc="D5D04CD4" w:tentative="1">
      <w:start w:val="1"/>
      <w:numFmt w:val="decimal"/>
      <w:lvlText w:val="%7."/>
      <w:lvlJc w:val="left"/>
      <w:pPr>
        <w:ind w:left="5040" w:hanging="360"/>
      </w:pPr>
    </w:lvl>
    <w:lvl w:ilvl="7" w:tplc="BFD018BA" w:tentative="1">
      <w:start w:val="1"/>
      <w:numFmt w:val="lowerLetter"/>
      <w:lvlText w:val="%8."/>
      <w:lvlJc w:val="left"/>
      <w:pPr>
        <w:ind w:left="5760" w:hanging="360"/>
      </w:pPr>
    </w:lvl>
    <w:lvl w:ilvl="8" w:tplc="F4F60F42" w:tentative="1">
      <w:start w:val="1"/>
      <w:numFmt w:val="lowerRoman"/>
      <w:lvlText w:val="%9."/>
      <w:lvlJc w:val="right"/>
      <w:pPr>
        <w:ind w:left="6480" w:hanging="180"/>
      </w:pPr>
    </w:lvl>
  </w:abstractNum>
  <w:abstractNum w:abstractNumId="26" w15:restartNumberingAfterBreak="0">
    <w:nsid w:val="4F4F431C"/>
    <w:multiLevelType w:val="multilevel"/>
    <w:tmpl w:val="2BA0E2F6"/>
    <w:lvl w:ilvl="0">
      <w:start w:val="1"/>
      <w:numFmt w:val="decimal"/>
      <w:lvlText w:val="%1."/>
      <w:lvlJc w:val="left"/>
      <w:pPr>
        <w:ind w:left="1647" w:hanging="567"/>
      </w:pPr>
      <w:rPr>
        <w:rFonts w:ascii="Arial" w:hAnsi="Arial" w:hint="default"/>
      </w:rPr>
    </w:lvl>
    <w:lvl w:ilvl="1">
      <w:start w:val="1"/>
      <w:numFmt w:val="decimal"/>
      <w:lvlText w:val="%1.%2."/>
      <w:lvlJc w:val="left"/>
      <w:pPr>
        <w:ind w:left="1647" w:hanging="567"/>
      </w:pPr>
      <w:rPr>
        <w:rFonts w:hint="default"/>
      </w:rPr>
    </w:lvl>
    <w:lvl w:ilvl="2">
      <w:start w:val="1"/>
      <w:numFmt w:val="none"/>
      <w:lvlText w:val="–"/>
      <w:lvlJc w:val="left"/>
      <w:pPr>
        <w:tabs>
          <w:tab w:val="num" w:pos="1800"/>
        </w:tabs>
        <w:ind w:left="1647" w:hanging="567"/>
      </w:pPr>
      <w:rPr>
        <w:rFonts w:hint="default"/>
      </w:rPr>
    </w:lvl>
    <w:lvl w:ilvl="3">
      <w:start w:val="1"/>
      <w:numFmt w:val="decimal"/>
      <w:pStyle w:val="berschrift4"/>
      <w:lvlText w:val="%4."/>
      <w:lvlJc w:val="left"/>
      <w:pPr>
        <w:tabs>
          <w:tab w:val="num" w:pos="2157"/>
        </w:tabs>
        <w:ind w:left="1134" w:hanging="567"/>
      </w:pPr>
      <w:rPr>
        <w:rFonts w:hint="default"/>
      </w:rPr>
    </w:lvl>
    <w:lvl w:ilvl="4">
      <w:start w:val="1"/>
      <w:numFmt w:val="lowerLetter"/>
      <w:pStyle w:val="berschrift5"/>
      <w:lvlText w:val="%5."/>
      <w:lvlJc w:val="left"/>
      <w:pPr>
        <w:ind w:left="1701" w:hanging="567"/>
      </w:pPr>
      <w:rPr>
        <w:rFonts w:hint="default"/>
      </w:rPr>
    </w:lvl>
    <w:lvl w:ilvl="5">
      <w:start w:val="1"/>
      <w:numFmt w:val="lowerRoman"/>
      <w:pStyle w:val="berschrift6"/>
      <w:lvlText w:val="%6."/>
      <w:lvlJc w:val="left"/>
      <w:pPr>
        <w:ind w:left="2268" w:hanging="567"/>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7" w15:restartNumberingAfterBreak="0">
    <w:nsid w:val="50CF6317"/>
    <w:multiLevelType w:val="hybridMultilevel"/>
    <w:tmpl w:val="BBE823B2"/>
    <w:lvl w:ilvl="0" w:tplc="B2E8EC1C">
      <w:start w:val="1"/>
      <w:numFmt w:val="decimal"/>
      <w:lvlText w:val="%1."/>
      <w:lvlJc w:val="left"/>
      <w:pPr>
        <w:tabs>
          <w:tab w:val="num" w:pos="340"/>
        </w:tabs>
        <w:ind w:left="340"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AB3A7054" w:tentative="1">
      <w:start w:val="1"/>
      <w:numFmt w:val="bullet"/>
      <w:lvlText w:val="o"/>
      <w:lvlJc w:val="left"/>
      <w:pPr>
        <w:ind w:left="1440" w:hanging="360"/>
      </w:pPr>
      <w:rPr>
        <w:rFonts w:ascii="Courier New" w:hAnsi="Courier New" w:hint="default"/>
      </w:rPr>
    </w:lvl>
    <w:lvl w:ilvl="2" w:tplc="A388148E" w:tentative="1">
      <w:start w:val="1"/>
      <w:numFmt w:val="bullet"/>
      <w:lvlText w:val=""/>
      <w:lvlJc w:val="left"/>
      <w:pPr>
        <w:ind w:left="2160" w:hanging="360"/>
      </w:pPr>
      <w:rPr>
        <w:rFonts w:ascii="Wingdings" w:hAnsi="Wingdings" w:hint="default"/>
      </w:rPr>
    </w:lvl>
    <w:lvl w:ilvl="3" w:tplc="E676D3BE" w:tentative="1">
      <w:start w:val="1"/>
      <w:numFmt w:val="bullet"/>
      <w:lvlText w:val=""/>
      <w:lvlJc w:val="left"/>
      <w:pPr>
        <w:ind w:left="2880" w:hanging="360"/>
      </w:pPr>
      <w:rPr>
        <w:rFonts w:ascii="Symbol" w:hAnsi="Symbol" w:hint="default"/>
      </w:rPr>
    </w:lvl>
    <w:lvl w:ilvl="4" w:tplc="CD18BD68" w:tentative="1">
      <w:start w:val="1"/>
      <w:numFmt w:val="bullet"/>
      <w:lvlText w:val="o"/>
      <w:lvlJc w:val="left"/>
      <w:pPr>
        <w:ind w:left="3600" w:hanging="360"/>
      </w:pPr>
      <w:rPr>
        <w:rFonts w:ascii="Courier New" w:hAnsi="Courier New" w:hint="default"/>
      </w:rPr>
    </w:lvl>
    <w:lvl w:ilvl="5" w:tplc="E8CA43FA" w:tentative="1">
      <w:start w:val="1"/>
      <w:numFmt w:val="bullet"/>
      <w:lvlText w:val=""/>
      <w:lvlJc w:val="left"/>
      <w:pPr>
        <w:ind w:left="4320" w:hanging="360"/>
      </w:pPr>
      <w:rPr>
        <w:rFonts w:ascii="Wingdings" w:hAnsi="Wingdings" w:hint="default"/>
      </w:rPr>
    </w:lvl>
    <w:lvl w:ilvl="6" w:tplc="3266CF4E" w:tentative="1">
      <w:start w:val="1"/>
      <w:numFmt w:val="bullet"/>
      <w:lvlText w:val=""/>
      <w:lvlJc w:val="left"/>
      <w:pPr>
        <w:ind w:left="5040" w:hanging="360"/>
      </w:pPr>
      <w:rPr>
        <w:rFonts w:ascii="Symbol" w:hAnsi="Symbol" w:hint="default"/>
      </w:rPr>
    </w:lvl>
    <w:lvl w:ilvl="7" w:tplc="7DD0397E" w:tentative="1">
      <w:start w:val="1"/>
      <w:numFmt w:val="bullet"/>
      <w:lvlText w:val="o"/>
      <w:lvlJc w:val="left"/>
      <w:pPr>
        <w:ind w:left="5760" w:hanging="360"/>
      </w:pPr>
      <w:rPr>
        <w:rFonts w:ascii="Courier New" w:hAnsi="Courier New" w:hint="default"/>
      </w:rPr>
    </w:lvl>
    <w:lvl w:ilvl="8" w:tplc="08DC22FA" w:tentative="1">
      <w:start w:val="1"/>
      <w:numFmt w:val="bullet"/>
      <w:lvlText w:val=""/>
      <w:lvlJc w:val="left"/>
      <w:pPr>
        <w:ind w:left="6480" w:hanging="360"/>
      </w:pPr>
      <w:rPr>
        <w:rFonts w:ascii="Wingdings" w:hAnsi="Wingdings" w:hint="default"/>
      </w:rPr>
    </w:lvl>
  </w:abstractNum>
  <w:abstractNum w:abstractNumId="28" w15:restartNumberingAfterBreak="0">
    <w:nsid w:val="629B18D9"/>
    <w:multiLevelType w:val="hybridMultilevel"/>
    <w:tmpl w:val="2264D520"/>
    <w:lvl w:ilvl="0" w:tplc="DBA86F6E">
      <w:start w:val="1"/>
      <w:numFmt w:val="decimal"/>
      <w:lvlText w:val="%1"/>
      <w:lvlJc w:val="left"/>
      <w:pPr>
        <w:ind w:left="170" w:hanging="170"/>
      </w:pPr>
      <w:rPr>
        <w:rFonts w:hint="default"/>
        <w:strike w:val="0"/>
        <w:dstrike w:val="0"/>
        <w:vertAlign w:val="superscript"/>
      </w:rPr>
    </w:lvl>
    <w:lvl w:ilvl="1" w:tplc="38604328" w:tentative="1">
      <w:start w:val="1"/>
      <w:numFmt w:val="lowerLetter"/>
      <w:lvlText w:val="%2."/>
      <w:lvlJc w:val="left"/>
      <w:pPr>
        <w:ind w:left="1440" w:hanging="360"/>
      </w:pPr>
    </w:lvl>
    <w:lvl w:ilvl="2" w:tplc="AC629BBA" w:tentative="1">
      <w:start w:val="1"/>
      <w:numFmt w:val="lowerRoman"/>
      <w:lvlText w:val="%3."/>
      <w:lvlJc w:val="right"/>
      <w:pPr>
        <w:ind w:left="2160" w:hanging="180"/>
      </w:pPr>
    </w:lvl>
    <w:lvl w:ilvl="3" w:tplc="993C0934" w:tentative="1">
      <w:start w:val="1"/>
      <w:numFmt w:val="decimal"/>
      <w:lvlText w:val="%4."/>
      <w:lvlJc w:val="left"/>
      <w:pPr>
        <w:ind w:left="2880" w:hanging="360"/>
      </w:pPr>
    </w:lvl>
    <w:lvl w:ilvl="4" w:tplc="53043232" w:tentative="1">
      <w:start w:val="1"/>
      <w:numFmt w:val="lowerLetter"/>
      <w:lvlText w:val="%5."/>
      <w:lvlJc w:val="left"/>
      <w:pPr>
        <w:ind w:left="3600" w:hanging="360"/>
      </w:pPr>
    </w:lvl>
    <w:lvl w:ilvl="5" w:tplc="F446DD5A" w:tentative="1">
      <w:start w:val="1"/>
      <w:numFmt w:val="lowerRoman"/>
      <w:lvlText w:val="%6."/>
      <w:lvlJc w:val="right"/>
      <w:pPr>
        <w:ind w:left="4320" w:hanging="180"/>
      </w:pPr>
    </w:lvl>
    <w:lvl w:ilvl="6" w:tplc="6CD8269C" w:tentative="1">
      <w:start w:val="1"/>
      <w:numFmt w:val="decimal"/>
      <w:lvlText w:val="%7."/>
      <w:lvlJc w:val="left"/>
      <w:pPr>
        <w:ind w:left="5040" w:hanging="360"/>
      </w:pPr>
    </w:lvl>
    <w:lvl w:ilvl="7" w:tplc="B36E28D6" w:tentative="1">
      <w:start w:val="1"/>
      <w:numFmt w:val="lowerLetter"/>
      <w:lvlText w:val="%8."/>
      <w:lvlJc w:val="left"/>
      <w:pPr>
        <w:ind w:left="5760" w:hanging="360"/>
      </w:pPr>
    </w:lvl>
    <w:lvl w:ilvl="8" w:tplc="EEB8CD1C" w:tentative="1">
      <w:start w:val="1"/>
      <w:numFmt w:val="lowerRoman"/>
      <w:lvlText w:val="%9."/>
      <w:lvlJc w:val="right"/>
      <w:pPr>
        <w:ind w:left="6480" w:hanging="180"/>
      </w:pPr>
    </w:lvl>
  </w:abstractNum>
  <w:abstractNum w:abstractNumId="29" w15:restartNumberingAfterBreak="0">
    <w:nsid w:val="653E4E2F"/>
    <w:multiLevelType w:val="hybridMultilevel"/>
    <w:tmpl w:val="98A0BBE2"/>
    <w:lvl w:ilvl="0" w:tplc="49E06858">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5E07F1F"/>
    <w:multiLevelType w:val="hybridMultilevel"/>
    <w:tmpl w:val="1AF80E06"/>
    <w:lvl w:ilvl="0" w:tplc="00A86D4E">
      <w:start w:val="1"/>
      <w:numFmt w:val="bullet"/>
      <w:lvlText w:val="–"/>
      <w:lvlJc w:val="left"/>
      <w:pPr>
        <w:tabs>
          <w:tab w:val="num" w:pos="170"/>
        </w:tabs>
        <w:ind w:left="170" w:hanging="170"/>
      </w:pPr>
      <w:rPr>
        <w:rFonts w:ascii="Arial" w:hAnsi="Arial" w:hint="default"/>
      </w:rPr>
    </w:lvl>
    <w:lvl w:ilvl="1" w:tplc="E94A5A5E" w:tentative="1">
      <w:start w:val="1"/>
      <w:numFmt w:val="bullet"/>
      <w:lvlText w:val="o"/>
      <w:lvlJc w:val="left"/>
      <w:pPr>
        <w:ind w:left="1440" w:hanging="360"/>
      </w:pPr>
      <w:rPr>
        <w:rFonts w:ascii="Courier New" w:hAnsi="Courier New" w:hint="default"/>
      </w:rPr>
    </w:lvl>
    <w:lvl w:ilvl="2" w:tplc="62C69ED4" w:tentative="1">
      <w:start w:val="1"/>
      <w:numFmt w:val="bullet"/>
      <w:lvlText w:val=""/>
      <w:lvlJc w:val="left"/>
      <w:pPr>
        <w:ind w:left="2160" w:hanging="360"/>
      </w:pPr>
      <w:rPr>
        <w:rFonts w:ascii="Wingdings" w:hAnsi="Wingdings" w:hint="default"/>
      </w:rPr>
    </w:lvl>
    <w:lvl w:ilvl="3" w:tplc="D0388314" w:tentative="1">
      <w:start w:val="1"/>
      <w:numFmt w:val="bullet"/>
      <w:lvlText w:val=""/>
      <w:lvlJc w:val="left"/>
      <w:pPr>
        <w:ind w:left="2880" w:hanging="360"/>
      </w:pPr>
      <w:rPr>
        <w:rFonts w:ascii="Symbol" w:hAnsi="Symbol" w:hint="default"/>
      </w:rPr>
    </w:lvl>
    <w:lvl w:ilvl="4" w:tplc="1848FA7A" w:tentative="1">
      <w:start w:val="1"/>
      <w:numFmt w:val="bullet"/>
      <w:lvlText w:val="o"/>
      <w:lvlJc w:val="left"/>
      <w:pPr>
        <w:ind w:left="3600" w:hanging="360"/>
      </w:pPr>
      <w:rPr>
        <w:rFonts w:ascii="Courier New" w:hAnsi="Courier New" w:hint="default"/>
      </w:rPr>
    </w:lvl>
    <w:lvl w:ilvl="5" w:tplc="A6DA8FBE" w:tentative="1">
      <w:start w:val="1"/>
      <w:numFmt w:val="bullet"/>
      <w:lvlText w:val=""/>
      <w:lvlJc w:val="left"/>
      <w:pPr>
        <w:ind w:left="4320" w:hanging="360"/>
      </w:pPr>
      <w:rPr>
        <w:rFonts w:ascii="Wingdings" w:hAnsi="Wingdings" w:hint="default"/>
      </w:rPr>
    </w:lvl>
    <w:lvl w:ilvl="6" w:tplc="EF66AF28" w:tentative="1">
      <w:start w:val="1"/>
      <w:numFmt w:val="bullet"/>
      <w:lvlText w:val=""/>
      <w:lvlJc w:val="left"/>
      <w:pPr>
        <w:ind w:left="5040" w:hanging="360"/>
      </w:pPr>
      <w:rPr>
        <w:rFonts w:ascii="Symbol" w:hAnsi="Symbol" w:hint="default"/>
      </w:rPr>
    </w:lvl>
    <w:lvl w:ilvl="7" w:tplc="1A2EDA22" w:tentative="1">
      <w:start w:val="1"/>
      <w:numFmt w:val="bullet"/>
      <w:lvlText w:val="o"/>
      <w:lvlJc w:val="left"/>
      <w:pPr>
        <w:ind w:left="5760" w:hanging="360"/>
      </w:pPr>
      <w:rPr>
        <w:rFonts w:ascii="Courier New" w:hAnsi="Courier New" w:hint="default"/>
      </w:rPr>
    </w:lvl>
    <w:lvl w:ilvl="8" w:tplc="CDB2C160" w:tentative="1">
      <w:start w:val="1"/>
      <w:numFmt w:val="bullet"/>
      <w:lvlText w:val=""/>
      <w:lvlJc w:val="left"/>
      <w:pPr>
        <w:ind w:left="6480" w:hanging="360"/>
      </w:pPr>
      <w:rPr>
        <w:rFonts w:ascii="Wingdings" w:hAnsi="Wingdings" w:hint="default"/>
      </w:rPr>
    </w:lvl>
  </w:abstractNum>
  <w:abstractNum w:abstractNumId="31" w15:restartNumberingAfterBreak="0">
    <w:nsid w:val="664649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7C71D0E"/>
    <w:multiLevelType w:val="hybridMultilevel"/>
    <w:tmpl w:val="2264D520"/>
    <w:lvl w:ilvl="0" w:tplc="6F4427CA">
      <w:start w:val="1"/>
      <w:numFmt w:val="decimal"/>
      <w:lvlText w:val="%1"/>
      <w:lvlJc w:val="left"/>
      <w:pPr>
        <w:ind w:left="170" w:hanging="170"/>
      </w:pPr>
      <w:rPr>
        <w:rFonts w:hint="default"/>
        <w:strike w:val="0"/>
        <w:dstrike w:val="0"/>
        <w:vertAlign w:val="superscript"/>
      </w:rPr>
    </w:lvl>
    <w:lvl w:ilvl="1" w:tplc="FD72C202" w:tentative="1">
      <w:start w:val="1"/>
      <w:numFmt w:val="lowerLetter"/>
      <w:lvlText w:val="%2."/>
      <w:lvlJc w:val="left"/>
      <w:pPr>
        <w:ind w:left="1440" w:hanging="360"/>
      </w:pPr>
    </w:lvl>
    <w:lvl w:ilvl="2" w:tplc="8328F8E6" w:tentative="1">
      <w:start w:val="1"/>
      <w:numFmt w:val="lowerRoman"/>
      <w:lvlText w:val="%3."/>
      <w:lvlJc w:val="right"/>
      <w:pPr>
        <w:ind w:left="2160" w:hanging="180"/>
      </w:pPr>
    </w:lvl>
    <w:lvl w:ilvl="3" w:tplc="5220FE6E" w:tentative="1">
      <w:start w:val="1"/>
      <w:numFmt w:val="decimal"/>
      <w:lvlText w:val="%4."/>
      <w:lvlJc w:val="left"/>
      <w:pPr>
        <w:ind w:left="2880" w:hanging="360"/>
      </w:pPr>
    </w:lvl>
    <w:lvl w:ilvl="4" w:tplc="8432F50A" w:tentative="1">
      <w:start w:val="1"/>
      <w:numFmt w:val="lowerLetter"/>
      <w:lvlText w:val="%5."/>
      <w:lvlJc w:val="left"/>
      <w:pPr>
        <w:ind w:left="3600" w:hanging="360"/>
      </w:pPr>
    </w:lvl>
    <w:lvl w:ilvl="5" w:tplc="3028CCF0" w:tentative="1">
      <w:start w:val="1"/>
      <w:numFmt w:val="lowerRoman"/>
      <w:lvlText w:val="%6."/>
      <w:lvlJc w:val="right"/>
      <w:pPr>
        <w:ind w:left="4320" w:hanging="180"/>
      </w:pPr>
    </w:lvl>
    <w:lvl w:ilvl="6" w:tplc="8F4A968A" w:tentative="1">
      <w:start w:val="1"/>
      <w:numFmt w:val="decimal"/>
      <w:lvlText w:val="%7."/>
      <w:lvlJc w:val="left"/>
      <w:pPr>
        <w:ind w:left="5040" w:hanging="360"/>
      </w:pPr>
    </w:lvl>
    <w:lvl w:ilvl="7" w:tplc="A52E5CBA" w:tentative="1">
      <w:start w:val="1"/>
      <w:numFmt w:val="lowerLetter"/>
      <w:lvlText w:val="%8."/>
      <w:lvlJc w:val="left"/>
      <w:pPr>
        <w:ind w:left="5760" w:hanging="360"/>
      </w:pPr>
    </w:lvl>
    <w:lvl w:ilvl="8" w:tplc="B0C058CE" w:tentative="1">
      <w:start w:val="1"/>
      <w:numFmt w:val="lowerRoman"/>
      <w:lvlText w:val="%9."/>
      <w:lvlJc w:val="right"/>
      <w:pPr>
        <w:ind w:left="6480" w:hanging="180"/>
      </w:pPr>
    </w:lvl>
  </w:abstractNum>
  <w:abstractNum w:abstractNumId="33" w15:restartNumberingAfterBreak="0">
    <w:nsid w:val="693D1731"/>
    <w:multiLevelType w:val="hybridMultilevel"/>
    <w:tmpl w:val="B8F8841C"/>
    <w:lvl w:ilvl="0" w:tplc="512C5628">
      <w:numFmt w:val="bullet"/>
      <w:lvlText w:val=""/>
      <w:lvlJc w:val="left"/>
      <w:pPr>
        <w:ind w:left="140" w:hanging="140"/>
      </w:pPr>
      <w:rPr>
        <w:rFonts w:ascii="Symbol" w:eastAsia="Symbol" w:hAnsi="Symbol" w:cs="Symbol" w:hint="default"/>
        <w:w w:val="100"/>
        <w:position w:val="8"/>
        <w:sz w:val="22"/>
        <w:szCs w:val="22"/>
      </w:rPr>
    </w:lvl>
    <w:lvl w:ilvl="1" w:tplc="971A6736">
      <w:numFmt w:val="bullet"/>
      <w:lvlText w:val=""/>
      <w:lvlJc w:val="left"/>
      <w:pPr>
        <w:ind w:left="856" w:hanging="361"/>
      </w:pPr>
      <w:rPr>
        <w:rFonts w:ascii="Symbol" w:eastAsia="Symbol" w:hAnsi="Symbol" w:cs="Symbol" w:hint="default"/>
        <w:w w:val="100"/>
        <w:sz w:val="22"/>
        <w:szCs w:val="22"/>
      </w:rPr>
    </w:lvl>
    <w:lvl w:ilvl="2" w:tplc="05FE2E16">
      <w:numFmt w:val="bullet"/>
      <w:lvlText w:val="•"/>
      <w:lvlJc w:val="left"/>
      <w:pPr>
        <w:ind w:left="1917" w:hanging="361"/>
      </w:pPr>
      <w:rPr>
        <w:rFonts w:hint="default"/>
      </w:rPr>
    </w:lvl>
    <w:lvl w:ilvl="3" w:tplc="7DB064FC">
      <w:numFmt w:val="bullet"/>
      <w:lvlText w:val="•"/>
      <w:lvlJc w:val="left"/>
      <w:pPr>
        <w:ind w:left="2970" w:hanging="361"/>
      </w:pPr>
      <w:rPr>
        <w:rFonts w:hint="default"/>
      </w:rPr>
    </w:lvl>
    <w:lvl w:ilvl="4" w:tplc="7D105DC6">
      <w:numFmt w:val="bullet"/>
      <w:lvlText w:val="•"/>
      <w:lvlJc w:val="left"/>
      <w:pPr>
        <w:ind w:left="4023" w:hanging="361"/>
      </w:pPr>
      <w:rPr>
        <w:rFonts w:hint="default"/>
      </w:rPr>
    </w:lvl>
    <w:lvl w:ilvl="5" w:tplc="E8442C96">
      <w:numFmt w:val="bullet"/>
      <w:lvlText w:val="•"/>
      <w:lvlJc w:val="left"/>
      <w:pPr>
        <w:ind w:left="5076" w:hanging="361"/>
      </w:pPr>
      <w:rPr>
        <w:rFonts w:hint="default"/>
      </w:rPr>
    </w:lvl>
    <w:lvl w:ilvl="6" w:tplc="CDBC25AE">
      <w:numFmt w:val="bullet"/>
      <w:lvlText w:val="•"/>
      <w:lvlJc w:val="left"/>
      <w:pPr>
        <w:ind w:left="6130" w:hanging="361"/>
      </w:pPr>
      <w:rPr>
        <w:rFonts w:hint="default"/>
      </w:rPr>
    </w:lvl>
    <w:lvl w:ilvl="7" w:tplc="F55A3216">
      <w:numFmt w:val="bullet"/>
      <w:lvlText w:val="•"/>
      <w:lvlJc w:val="left"/>
      <w:pPr>
        <w:ind w:left="7183" w:hanging="361"/>
      </w:pPr>
      <w:rPr>
        <w:rFonts w:hint="default"/>
      </w:rPr>
    </w:lvl>
    <w:lvl w:ilvl="8" w:tplc="DFE4DF4E">
      <w:numFmt w:val="bullet"/>
      <w:lvlText w:val="•"/>
      <w:lvlJc w:val="left"/>
      <w:pPr>
        <w:ind w:left="8236" w:hanging="361"/>
      </w:pPr>
      <w:rPr>
        <w:rFonts w:hint="default"/>
      </w:rPr>
    </w:lvl>
  </w:abstractNum>
  <w:abstractNum w:abstractNumId="34" w15:restartNumberingAfterBreak="0">
    <w:nsid w:val="70844344"/>
    <w:multiLevelType w:val="hybridMultilevel"/>
    <w:tmpl w:val="A1ACC5C2"/>
    <w:lvl w:ilvl="0" w:tplc="2C34411C">
      <w:numFmt w:val="bullet"/>
      <w:lvlText w:val=""/>
      <w:lvlJc w:val="left"/>
      <w:pPr>
        <w:ind w:left="832" w:hanging="361"/>
      </w:pPr>
      <w:rPr>
        <w:rFonts w:ascii="Symbol" w:eastAsia="Symbol" w:hAnsi="Symbol" w:cs="Symbol" w:hint="default"/>
        <w:w w:val="100"/>
        <w:sz w:val="22"/>
        <w:szCs w:val="22"/>
      </w:rPr>
    </w:lvl>
    <w:lvl w:ilvl="1" w:tplc="51DA8300">
      <w:numFmt w:val="bullet"/>
      <w:lvlText w:val="•"/>
      <w:lvlJc w:val="left"/>
      <w:pPr>
        <w:ind w:left="1787" w:hanging="361"/>
      </w:pPr>
      <w:rPr>
        <w:rFonts w:hint="default"/>
      </w:rPr>
    </w:lvl>
    <w:lvl w:ilvl="2" w:tplc="FAD441B4">
      <w:numFmt w:val="bullet"/>
      <w:lvlText w:val="•"/>
      <w:lvlJc w:val="left"/>
      <w:pPr>
        <w:ind w:left="2735" w:hanging="361"/>
      </w:pPr>
      <w:rPr>
        <w:rFonts w:hint="default"/>
      </w:rPr>
    </w:lvl>
    <w:lvl w:ilvl="3" w:tplc="0ED2DEB2">
      <w:numFmt w:val="bullet"/>
      <w:lvlText w:val="•"/>
      <w:lvlJc w:val="left"/>
      <w:pPr>
        <w:ind w:left="3683" w:hanging="361"/>
      </w:pPr>
      <w:rPr>
        <w:rFonts w:hint="default"/>
      </w:rPr>
    </w:lvl>
    <w:lvl w:ilvl="4" w:tplc="DAE8AFDA">
      <w:numFmt w:val="bullet"/>
      <w:lvlText w:val="•"/>
      <w:lvlJc w:val="left"/>
      <w:pPr>
        <w:ind w:left="4631" w:hanging="361"/>
      </w:pPr>
      <w:rPr>
        <w:rFonts w:hint="default"/>
      </w:rPr>
    </w:lvl>
    <w:lvl w:ilvl="5" w:tplc="C42656CC">
      <w:numFmt w:val="bullet"/>
      <w:lvlText w:val="•"/>
      <w:lvlJc w:val="left"/>
      <w:pPr>
        <w:ind w:left="5579" w:hanging="361"/>
      </w:pPr>
      <w:rPr>
        <w:rFonts w:hint="default"/>
      </w:rPr>
    </w:lvl>
    <w:lvl w:ilvl="6" w:tplc="24203D04">
      <w:numFmt w:val="bullet"/>
      <w:lvlText w:val="•"/>
      <w:lvlJc w:val="left"/>
      <w:pPr>
        <w:ind w:left="6527" w:hanging="361"/>
      </w:pPr>
      <w:rPr>
        <w:rFonts w:hint="default"/>
      </w:rPr>
    </w:lvl>
    <w:lvl w:ilvl="7" w:tplc="503C691A">
      <w:numFmt w:val="bullet"/>
      <w:lvlText w:val="•"/>
      <w:lvlJc w:val="left"/>
      <w:pPr>
        <w:ind w:left="7475" w:hanging="361"/>
      </w:pPr>
      <w:rPr>
        <w:rFonts w:hint="default"/>
      </w:rPr>
    </w:lvl>
    <w:lvl w:ilvl="8" w:tplc="87EC0D80">
      <w:numFmt w:val="bullet"/>
      <w:lvlText w:val="•"/>
      <w:lvlJc w:val="left"/>
      <w:pPr>
        <w:ind w:left="8423" w:hanging="361"/>
      </w:pPr>
      <w:rPr>
        <w:rFonts w:hint="default"/>
      </w:rPr>
    </w:lvl>
  </w:abstractNum>
  <w:abstractNum w:abstractNumId="35" w15:restartNumberingAfterBreak="0">
    <w:nsid w:val="712E5232"/>
    <w:multiLevelType w:val="hybridMultilevel"/>
    <w:tmpl w:val="67B4D722"/>
    <w:lvl w:ilvl="0" w:tplc="38A8D868">
      <w:start w:val="1"/>
      <w:numFmt w:val="bullet"/>
      <w:pStyle w:val="Beilagen"/>
      <w:lvlText w:val="–"/>
      <w:lvlJc w:val="left"/>
      <w:pPr>
        <w:ind w:left="567" w:hanging="567"/>
      </w:pPr>
      <w:rPr>
        <w:rFonts w:ascii="Arial" w:hAnsi="Arial" w:hint="default"/>
      </w:rPr>
    </w:lvl>
    <w:lvl w:ilvl="1" w:tplc="85242310" w:tentative="1">
      <w:start w:val="1"/>
      <w:numFmt w:val="lowerLetter"/>
      <w:lvlText w:val="%2."/>
      <w:lvlJc w:val="left"/>
      <w:pPr>
        <w:ind w:left="1440" w:hanging="360"/>
      </w:pPr>
    </w:lvl>
    <w:lvl w:ilvl="2" w:tplc="5DA03320" w:tentative="1">
      <w:start w:val="1"/>
      <w:numFmt w:val="lowerRoman"/>
      <w:lvlText w:val="%3."/>
      <w:lvlJc w:val="right"/>
      <w:pPr>
        <w:ind w:left="2160" w:hanging="180"/>
      </w:pPr>
    </w:lvl>
    <w:lvl w:ilvl="3" w:tplc="DCC89716" w:tentative="1">
      <w:start w:val="1"/>
      <w:numFmt w:val="decimal"/>
      <w:lvlText w:val="%4."/>
      <w:lvlJc w:val="left"/>
      <w:pPr>
        <w:ind w:left="2880" w:hanging="360"/>
      </w:pPr>
    </w:lvl>
    <w:lvl w:ilvl="4" w:tplc="935CABCA" w:tentative="1">
      <w:start w:val="1"/>
      <w:numFmt w:val="lowerLetter"/>
      <w:lvlText w:val="%5."/>
      <w:lvlJc w:val="left"/>
      <w:pPr>
        <w:ind w:left="3600" w:hanging="360"/>
      </w:pPr>
    </w:lvl>
    <w:lvl w:ilvl="5" w:tplc="D72C6B5A" w:tentative="1">
      <w:start w:val="1"/>
      <w:numFmt w:val="lowerRoman"/>
      <w:lvlText w:val="%6."/>
      <w:lvlJc w:val="right"/>
      <w:pPr>
        <w:ind w:left="4320" w:hanging="180"/>
      </w:pPr>
    </w:lvl>
    <w:lvl w:ilvl="6" w:tplc="FD404254" w:tentative="1">
      <w:start w:val="1"/>
      <w:numFmt w:val="decimal"/>
      <w:lvlText w:val="%7."/>
      <w:lvlJc w:val="left"/>
      <w:pPr>
        <w:ind w:left="5040" w:hanging="360"/>
      </w:pPr>
    </w:lvl>
    <w:lvl w:ilvl="7" w:tplc="1CE02492" w:tentative="1">
      <w:start w:val="1"/>
      <w:numFmt w:val="lowerLetter"/>
      <w:lvlText w:val="%8."/>
      <w:lvlJc w:val="left"/>
      <w:pPr>
        <w:ind w:left="5760" w:hanging="360"/>
      </w:pPr>
    </w:lvl>
    <w:lvl w:ilvl="8" w:tplc="41B41F04" w:tentative="1">
      <w:start w:val="1"/>
      <w:numFmt w:val="lowerRoman"/>
      <w:lvlText w:val="%9."/>
      <w:lvlJc w:val="right"/>
      <w:pPr>
        <w:ind w:left="6480" w:hanging="180"/>
      </w:pPr>
    </w:lvl>
  </w:abstractNum>
  <w:abstractNum w:abstractNumId="36" w15:restartNumberingAfterBreak="0">
    <w:nsid w:val="72142DF3"/>
    <w:multiLevelType w:val="hybridMultilevel"/>
    <w:tmpl w:val="B9C2E0CE"/>
    <w:lvl w:ilvl="0" w:tplc="20083162">
      <w:start w:val="1"/>
      <w:numFmt w:val="decimal"/>
      <w:pStyle w:val="Listenummeriert"/>
      <w:lvlText w:val="%1."/>
      <w:lvlJc w:val="left"/>
      <w:pPr>
        <w:ind w:left="1276" w:hanging="425"/>
      </w:pPr>
      <w:rPr>
        <w:rFonts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FE88442C">
      <w:start w:val="1"/>
      <w:numFmt w:val="lowerLetter"/>
      <w:lvlText w:val="%2."/>
      <w:lvlJc w:val="left"/>
      <w:pPr>
        <w:ind w:left="1440" w:hanging="360"/>
      </w:pPr>
    </w:lvl>
    <w:lvl w:ilvl="2" w:tplc="988CB034">
      <w:start w:val="1"/>
      <w:numFmt w:val="lowerRoman"/>
      <w:lvlText w:val="%3."/>
      <w:lvlJc w:val="right"/>
      <w:pPr>
        <w:ind w:left="2160" w:hanging="180"/>
      </w:pPr>
    </w:lvl>
    <w:lvl w:ilvl="3" w:tplc="2C588C5E" w:tentative="1">
      <w:start w:val="1"/>
      <w:numFmt w:val="decimal"/>
      <w:lvlText w:val="%4."/>
      <w:lvlJc w:val="left"/>
      <w:pPr>
        <w:ind w:left="2880" w:hanging="360"/>
      </w:pPr>
    </w:lvl>
    <w:lvl w:ilvl="4" w:tplc="76E0D9AC" w:tentative="1">
      <w:start w:val="1"/>
      <w:numFmt w:val="lowerLetter"/>
      <w:lvlText w:val="%5."/>
      <w:lvlJc w:val="left"/>
      <w:pPr>
        <w:ind w:left="3600" w:hanging="360"/>
      </w:pPr>
    </w:lvl>
    <w:lvl w:ilvl="5" w:tplc="46547326" w:tentative="1">
      <w:start w:val="1"/>
      <w:numFmt w:val="lowerRoman"/>
      <w:lvlText w:val="%6."/>
      <w:lvlJc w:val="right"/>
      <w:pPr>
        <w:ind w:left="4320" w:hanging="180"/>
      </w:pPr>
    </w:lvl>
    <w:lvl w:ilvl="6" w:tplc="FEF220B0" w:tentative="1">
      <w:start w:val="1"/>
      <w:numFmt w:val="decimal"/>
      <w:lvlText w:val="%7."/>
      <w:lvlJc w:val="left"/>
      <w:pPr>
        <w:ind w:left="5040" w:hanging="360"/>
      </w:pPr>
    </w:lvl>
    <w:lvl w:ilvl="7" w:tplc="82126A80" w:tentative="1">
      <w:start w:val="1"/>
      <w:numFmt w:val="lowerLetter"/>
      <w:lvlText w:val="%8."/>
      <w:lvlJc w:val="left"/>
      <w:pPr>
        <w:ind w:left="5760" w:hanging="360"/>
      </w:pPr>
    </w:lvl>
    <w:lvl w:ilvl="8" w:tplc="1564F846" w:tentative="1">
      <w:start w:val="1"/>
      <w:numFmt w:val="lowerRoman"/>
      <w:lvlText w:val="%9."/>
      <w:lvlJc w:val="right"/>
      <w:pPr>
        <w:ind w:left="6480" w:hanging="180"/>
      </w:pPr>
    </w:lvl>
  </w:abstractNum>
  <w:abstractNum w:abstractNumId="37" w15:restartNumberingAfterBreak="0">
    <w:nsid w:val="72FF7B01"/>
    <w:multiLevelType w:val="hybridMultilevel"/>
    <w:tmpl w:val="7598A362"/>
    <w:lvl w:ilvl="0" w:tplc="0A48D372">
      <w:start w:val="1"/>
      <w:numFmt w:val="bullet"/>
      <w:lvlText w:val=""/>
      <w:lvlJc w:val="left"/>
      <w:pPr>
        <w:ind w:left="720" w:hanging="360"/>
      </w:pPr>
      <w:rPr>
        <w:rFonts w:ascii="Symbol" w:hAnsi="Symbol" w:hint="default"/>
      </w:rPr>
    </w:lvl>
    <w:lvl w:ilvl="1" w:tplc="3CE80582" w:tentative="1">
      <w:start w:val="1"/>
      <w:numFmt w:val="bullet"/>
      <w:lvlText w:val="o"/>
      <w:lvlJc w:val="left"/>
      <w:pPr>
        <w:ind w:left="1440" w:hanging="360"/>
      </w:pPr>
      <w:rPr>
        <w:rFonts w:ascii="Courier New" w:hAnsi="Courier New" w:hint="default"/>
      </w:rPr>
    </w:lvl>
    <w:lvl w:ilvl="2" w:tplc="B374E950" w:tentative="1">
      <w:start w:val="1"/>
      <w:numFmt w:val="bullet"/>
      <w:lvlText w:val=""/>
      <w:lvlJc w:val="left"/>
      <w:pPr>
        <w:ind w:left="2160" w:hanging="360"/>
      </w:pPr>
      <w:rPr>
        <w:rFonts w:ascii="Wingdings" w:hAnsi="Wingdings" w:hint="default"/>
      </w:rPr>
    </w:lvl>
    <w:lvl w:ilvl="3" w:tplc="25E0887C" w:tentative="1">
      <w:start w:val="1"/>
      <w:numFmt w:val="bullet"/>
      <w:lvlText w:val=""/>
      <w:lvlJc w:val="left"/>
      <w:pPr>
        <w:ind w:left="2880" w:hanging="360"/>
      </w:pPr>
      <w:rPr>
        <w:rFonts w:ascii="Symbol" w:hAnsi="Symbol" w:hint="default"/>
      </w:rPr>
    </w:lvl>
    <w:lvl w:ilvl="4" w:tplc="736C8C24" w:tentative="1">
      <w:start w:val="1"/>
      <w:numFmt w:val="bullet"/>
      <w:lvlText w:val="o"/>
      <w:lvlJc w:val="left"/>
      <w:pPr>
        <w:ind w:left="3600" w:hanging="360"/>
      </w:pPr>
      <w:rPr>
        <w:rFonts w:ascii="Courier New" w:hAnsi="Courier New" w:hint="default"/>
      </w:rPr>
    </w:lvl>
    <w:lvl w:ilvl="5" w:tplc="DC60E17A" w:tentative="1">
      <w:start w:val="1"/>
      <w:numFmt w:val="bullet"/>
      <w:lvlText w:val=""/>
      <w:lvlJc w:val="left"/>
      <w:pPr>
        <w:ind w:left="4320" w:hanging="360"/>
      </w:pPr>
      <w:rPr>
        <w:rFonts w:ascii="Wingdings" w:hAnsi="Wingdings" w:hint="default"/>
      </w:rPr>
    </w:lvl>
    <w:lvl w:ilvl="6" w:tplc="8F02E4EC" w:tentative="1">
      <w:start w:val="1"/>
      <w:numFmt w:val="bullet"/>
      <w:lvlText w:val=""/>
      <w:lvlJc w:val="left"/>
      <w:pPr>
        <w:ind w:left="5040" w:hanging="360"/>
      </w:pPr>
      <w:rPr>
        <w:rFonts w:ascii="Symbol" w:hAnsi="Symbol" w:hint="default"/>
      </w:rPr>
    </w:lvl>
    <w:lvl w:ilvl="7" w:tplc="E97CE682" w:tentative="1">
      <w:start w:val="1"/>
      <w:numFmt w:val="bullet"/>
      <w:lvlText w:val="o"/>
      <w:lvlJc w:val="left"/>
      <w:pPr>
        <w:ind w:left="5760" w:hanging="360"/>
      </w:pPr>
      <w:rPr>
        <w:rFonts w:ascii="Courier New" w:hAnsi="Courier New" w:hint="default"/>
      </w:rPr>
    </w:lvl>
    <w:lvl w:ilvl="8" w:tplc="9A202C9E" w:tentative="1">
      <w:start w:val="1"/>
      <w:numFmt w:val="bullet"/>
      <w:lvlText w:val=""/>
      <w:lvlJc w:val="left"/>
      <w:pPr>
        <w:ind w:left="6480" w:hanging="360"/>
      </w:pPr>
      <w:rPr>
        <w:rFonts w:ascii="Wingdings" w:hAnsi="Wingdings" w:hint="default"/>
      </w:rPr>
    </w:lvl>
  </w:abstractNum>
  <w:abstractNum w:abstractNumId="38" w15:restartNumberingAfterBreak="0">
    <w:nsid w:val="79F87DA1"/>
    <w:multiLevelType w:val="multilevel"/>
    <w:tmpl w:val="7598A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554507"/>
    <w:multiLevelType w:val="hybridMultilevel"/>
    <w:tmpl w:val="DC8220E6"/>
    <w:lvl w:ilvl="0" w:tplc="1B30800C">
      <w:start w:val="1"/>
      <w:numFmt w:val="decimal"/>
      <w:lvlText w:val="%1"/>
      <w:lvlJc w:val="left"/>
      <w:pPr>
        <w:ind w:left="170" w:hanging="170"/>
      </w:pPr>
      <w:rPr>
        <w:rFonts w:hint="default"/>
        <w:strike w:val="0"/>
        <w:dstrike w:val="0"/>
        <w:vertAlign w:val="superscript"/>
      </w:rPr>
    </w:lvl>
    <w:lvl w:ilvl="1" w:tplc="BEC62A7A" w:tentative="1">
      <w:start w:val="1"/>
      <w:numFmt w:val="lowerLetter"/>
      <w:lvlText w:val="%2."/>
      <w:lvlJc w:val="left"/>
      <w:pPr>
        <w:ind w:left="1440" w:hanging="360"/>
      </w:pPr>
    </w:lvl>
    <w:lvl w:ilvl="2" w:tplc="EB524334" w:tentative="1">
      <w:start w:val="1"/>
      <w:numFmt w:val="lowerRoman"/>
      <w:lvlText w:val="%3."/>
      <w:lvlJc w:val="right"/>
      <w:pPr>
        <w:ind w:left="2160" w:hanging="180"/>
      </w:pPr>
    </w:lvl>
    <w:lvl w:ilvl="3" w:tplc="94AAE480" w:tentative="1">
      <w:start w:val="1"/>
      <w:numFmt w:val="decimal"/>
      <w:lvlText w:val="%4."/>
      <w:lvlJc w:val="left"/>
      <w:pPr>
        <w:ind w:left="2880" w:hanging="360"/>
      </w:pPr>
    </w:lvl>
    <w:lvl w:ilvl="4" w:tplc="AB9E3C0A" w:tentative="1">
      <w:start w:val="1"/>
      <w:numFmt w:val="lowerLetter"/>
      <w:lvlText w:val="%5."/>
      <w:lvlJc w:val="left"/>
      <w:pPr>
        <w:ind w:left="3600" w:hanging="360"/>
      </w:pPr>
    </w:lvl>
    <w:lvl w:ilvl="5" w:tplc="A5740446" w:tentative="1">
      <w:start w:val="1"/>
      <w:numFmt w:val="lowerRoman"/>
      <w:lvlText w:val="%6."/>
      <w:lvlJc w:val="right"/>
      <w:pPr>
        <w:ind w:left="4320" w:hanging="180"/>
      </w:pPr>
    </w:lvl>
    <w:lvl w:ilvl="6" w:tplc="71EA77CE" w:tentative="1">
      <w:start w:val="1"/>
      <w:numFmt w:val="decimal"/>
      <w:lvlText w:val="%7."/>
      <w:lvlJc w:val="left"/>
      <w:pPr>
        <w:ind w:left="5040" w:hanging="360"/>
      </w:pPr>
    </w:lvl>
    <w:lvl w:ilvl="7" w:tplc="8834981E" w:tentative="1">
      <w:start w:val="1"/>
      <w:numFmt w:val="lowerLetter"/>
      <w:lvlText w:val="%8."/>
      <w:lvlJc w:val="left"/>
      <w:pPr>
        <w:ind w:left="5760" w:hanging="360"/>
      </w:pPr>
    </w:lvl>
    <w:lvl w:ilvl="8" w:tplc="5B0A15F4" w:tentative="1">
      <w:start w:val="1"/>
      <w:numFmt w:val="lowerRoman"/>
      <w:lvlText w:val="%9."/>
      <w:lvlJc w:val="right"/>
      <w:pPr>
        <w:ind w:left="6480" w:hanging="180"/>
      </w:pPr>
    </w:lvl>
  </w:abstractNum>
  <w:num w:numId="1">
    <w:abstractNumId w:val="37"/>
  </w:num>
  <w:num w:numId="2">
    <w:abstractNumId w:val="38"/>
  </w:num>
  <w:num w:numId="3">
    <w:abstractNumId w:val="30"/>
  </w:num>
  <w:num w:numId="4">
    <w:abstractNumId w:val="7"/>
  </w:num>
  <w:num w:numId="5">
    <w:abstractNumId w:val="27"/>
  </w:num>
  <w:num w:numId="6">
    <w:abstractNumId w:val="23"/>
  </w:num>
  <w:num w:numId="7">
    <w:abstractNumId w:val="31"/>
  </w:num>
  <w:num w:numId="8">
    <w:abstractNumId w:val="22"/>
  </w:num>
  <w:num w:numId="9">
    <w:abstractNumId w:val="8"/>
  </w:num>
  <w:num w:numId="10">
    <w:abstractNumId w:val="35"/>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6"/>
  </w:num>
  <w:num w:numId="14">
    <w:abstractNumId w:val="36"/>
  </w:num>
  <w:num w:numId="15">
    <w:abstractNumId w:val="1"/>
  </w:num>
  <w:num w:numId="16">
    <w:abstractNumId w:val="14"/>
  </w:num>
  <w:num w:numId="17">
    <w:abstractNumId w:val="4"/>
  </w:num>
  <w:num w:numId="18">
    <w:abstractNumId w:val="2"/>
  </w:num>
  <w:num w:numId="19">
    <w:abstractNumId w:val="24"/>
  </w:num>
  <w:num w:numId="20">
    <w:abstractNumId w:val="16"/>
  </w:num>
  <w:num w:numId="21">
    <w:abstractNumId w:val="16"/>
  </w:num>
  <w:num w:numId="22">
    <w:abstractNumId w:val="26"/>
  </w:num>
  <w:num w:numId="23">
    <w:abstractNumId w:val="26"/>
  </w:num>
  <w:num w:numId="24">
    <w:abstractNumId w:val="26"/>
  </w:num>
  <w:num w:numId="25">
    <w:abstractNumId w:val="11"/>
  </w:num>
  <w:num w:numId="26">
    <w:abstractNumId w:val="21"/>
  </w:num>
  <w:num w:numId="27">
    <w:abstractNumId w:val="0"/>
  </w:num>
  <w:num w:numId="28">
    <w:abstractNumId w:val="15"/>
  </w:num>
  <w:num w:numId="29">
    <w:abstractNumId w:val="25"/>
  </w:num>
  <w:num w:numId="30">
    <w:abstractNumId w:val="20"/>
  </w:num>
  <w:num w:numId="31">
    <w:abstractNumId w:val="28"/>
  </w:num>
  <w:num w:numId="32">
    <w:abstractNumId w:val="12"/>
  </w:num>
  <w:num w:numId="33">
    <w:abstractNumId w:val="39"/>
  </w:num>
  <w:num w:numId="34">
    <w:abstractNumId w:val="32"/>
  </w:num>
  <w:num w:numId="35">
    <w:abstractNumId w:val="3"/>
  </w:num>
  <w:num w:numId="36">
    <w:abstractNumId w:val="34"/>
  </w:num>
  <w:num w:numId="37">
    <w:abstractNumId w:val="9"/>
  </w:num>
  <w:num w:numId="38">
    <w:abstractNumId w:val="5"/>
  </w:num>
  <w:num w:numId="39">
    <w:abstractNumId w:val="33"/>
  </w:num>
  <w:num w:numId="40">
    <w:abstractNumId w:val="13"/>
  </w:num>
  <w:num w:numId="41">
    <w:abstractNumId w:val="19"/>
  </w:num>
  <w:num w:numId="42">
    <w:abstractNumId w:val="29"/>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attachedTemplate r:id="rId1"/>
  <w:defaultTabStop w:val="720"/>
  <w:autoHyphenation/>
  <w:hyphenationZone w:val="425"/>
  <w:characterSpacingControl w:val="doNotCompress"/>
  <w:hdrShapeDefaults>
    <o:shapedefaults v:ext="edit" spidmax="2663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9B"/>
    <w:rsid w:val="00007047"/>
    <w:rsid w:val="00012C51"/>
    <w:rsid w:val="000167C8"/>
    <w:rsid w:val="0005403C"/>
    <w:rsid w:val="00070DF5"/>
    <w:rsid w:val="00091B27"/>
    <w:rsid w:val="00096AFD"/>
    <w:rsid w:val="000A647D"/>
    <w:rsid w:val="000C5469"/>
    <w:rsid w:val="0010061A"/>
    <w:rsid w:val="00114B65"/>
    <w:rsid w:val="0013386E"/>
    <w:rsid w:val="001506A8"/>
    <w:rsid w:val="0015301A"/>
    <w:rsid w:val="00153DEE"/>
    <w:rsid w:val="001671FA"/>
    <w:rsid w:val="001677AF"/>
    <w:rsid w:val="00186C6D"/>
    <w:rsid w:val="0021003D"/>
    <w:rsid w:val="002242C4"/>
    <w:rsid w:val="00233E4A"/>
    <w:rsid w:val="0023707E"/>
    <w:rsid w:val="00257070"/>
    <w:rsid w:val="0029512E"/>
    <w:rsid w:val="00302100"/>
    <w:rsid w:val="003135EB"/>
    <w:rsid w:val="0031471C"/>
    <w:rsid w:val="003431BF"/>
    <w:rsid w:val="003476E6"/>
    <w:rsid w:val="003506BC"/>
    <w:rsid w:val="0036134C"/>
    <w:rsid w:val="00364555"/>
    <w:rsid w:val="00367A91"/>
    <w:rsid w:val="00367C52"/>
    <w:rsid w:val="003814C8"/>
    <w:rsid w:val="003C10D1"/>
    <w:rsid w:val="003D2971"/>
    <w:rsid w:val="003D696C"/>
    <w:rsid w:val="003E5FA3"/>
    <w:rsid w:val="003F096E"/>
    <w:rsid w:val="00407ACF"/>
    <w:rsid w:val="00411DB1"/>
    <w:rsid w:val="0046019D"/>
    <w:rsid w:val="00472316"/>
    <w:rsid w:val="0049536B"/>
    <w:rsid w:val="004A03D0"/>
    <w:rsid w:val="004D5D88"/>
    <w:rsid w:val="004D6852"/>
    <w:rsid w:val="004E429E"/>
    <w:rsid w:val="005037D5"/>
    <w:rsid w:val="00590F09"/>
    <w:rsid w:val="005967DB"/>
    <w:rsid w:val="005A46F6"/>
    <w:rsid w:val="005B6AC8"/>
    <w:rsid w:val="005D0098"/>
    <w:rsid w:val="00602C34"/>
    <w:rsid w:val="00635C42"/>
    <w:rsid w:val="00652AAB"/>
    <w:rsid w:val="00675924"/>
    <w:rsid w:val="006A7690"/>
    <w:rsid w:val="006B15F0"/>
    <w:rsid w:val="006B4D7E"/>
    <w:rsid w:val="006C1AD4"/>
    <w:rsid w:val="006C4921"/>
    <w:rsid w:val="006D7264"/>
    <w:rsid w:val="006F2E57"/>
    <w:rsid w:val="006F5B6F"/>
    <w:rsid w:val="00705A71"/>
    <w:rsid w:val="00714C47"/>
    <w:rsid w:val="00723246"/>
    <w:rsid w:val="00754E71"/>
    <w:rsid w:val="00755EF6"/>
    <w:rsid w:val="007742EA"/>
    <w:rsid w:val="00792E4D"/>
    <w:rsid w:val="0079320D"/>
    <w:rsid w:val="007C3526"/>
    <w:rsid w:val="007C4023"/>
    <w:rsid w:val="007D4887"/>
    <w:rsid w:val="007D5908"/>
    <w:rsid w:val="007E707C"/>
    <w:rsid w:val="00811C2C"/>
    <w:rsid w:val="00816A12"/>
    <w:rsid w:val="0082090D"/>
    <w:rsid w:val="00822DD7"/>
    <w:rsid w:val="00830AAC"/>
    <w:rsid w:val="00830F9B"/>
    <w:rsid w:val="00834719"/>
    <w:rsid w:val="008447EC"/>
    <w:rsid w:val="008750E2"/>
    <w:rsid w:val="008B4C51"/>
    <w:rsid w:val="008C1D00"/>
    <w:rsid w:val="008C778E"/>
    <w:rsid w:val="008F7356"/>
    <w:rsid w:val="009039BE"/>
    <w:rsid w:val="0090406E"/>
    <w:rsid w:val="00911ED0"/>
    <w:rsid w:val="00912AE2"/>
    <w:rsid w:val="00922F4E"/>
    <w:rsid w:val="00925B8F"/>
    <w:rsid w:val="00926A23"/>
    <w:rsid w:val="00937EE4"/>
    <w:rsid w:val="009432F3"/>
    <w:rsid w:val="00954F79"/>
    <w:rsid w:val="00955F5F"/>
    <w:rsid w:val="00960A42"/>
    <w:rsid w:val="00970235"/>
    <w:rsid w:val="00975A94"/>
    <w:rsid w:val="00983196"/>
    <w:rsid w:val="00983AAD"/>
    <w:rsid w:val="009854F4"/>
    <w:rsid w:val="009C1E75"/>
    <w:rsid w:val="009C7F34"/>
    <w:rsid w:val="00A06C9B"/>
    <w:rsid w:val="00A16F1D"/>
    <w:rsid w:val="00A73D84"/>
    <w:rsid w:val="00A83A82"/>
    <w:rsid w:val="00A93141"/>
    <w:rsid w:val="00AA393E"/>
    <w:rsid w:val="00AA3E06"/>
    <w:rsid w:val="00AB1276"/>
    <w:rsid w:val="00B079D5"/>
    <w:rsid w:val="00B117E2"/>
    <w:rsid w:val="00B17C99"/>
    <w:rsid w:val="00B25682"/>
    <w:rsid w:val="00B5571A"/>
    <w:rsid w:val="00B71059"/>
    <w:rsid w:val="00B77C7C"/>
    <w:rsid w:val="00B80740"/>
    <w:rsid w:val="00B949DF"/>
    <w:rsid w:val="00BC15C5"/>
    <w:rsid w:val="00C03110"/>
    <w:rsid w:val="00C17B35"/>
    <w:rsid w:val="00C31EF5"/>
    <w:rsid w:val="00C46A02"/>
    <w:rsid w:val="00C64C8C"/>
    <w:rsid w:val="00C65412"/>
    <w:rsid w:val="00C6733C"/>
    <w:rsid w:val="00CC6DC7"/>
    <w:rsid w:val="00CC7A97"/>
    <w:rsid w:val="00CD001B"/>
    <w:rsid w:val="00CD2043"/>
    <w:rsid w:val="00CD2861"/>
    <w:rsid w:val="00CD294D"/>
    <w:rsid w:val="00CE1DA8"/>
    <w:rsid w:val="00CF781A"/>
    <w:rsid w:val="00D0551F"/>
    <w:rsid w:val="00D21302"/>
    <w:rsid w:val="00D523E0"/>
    <w:rsid w:val="00D60B91"/>
    <w:rsid w:val="00D61F38"/>
    <w:rsid w:val="00D94C23"/>
    <w:rsid w:val="00D95353"/>
    <w:rsid w:val="00D96736"/>
    <w:rsid w:val="00DA31C9"/>
    <w:rsid w:val="00DD2A8E"/>
    <w:rsid w:val="00DE7495"/>
    <w:rsid w:val="00DF6687"/>
    <w:rsid w:val="00E2044D"/>
    <w:rsid w:val="00E22917"/>
    <w:rsid w:val="00E420E0"/>
    <w:rsid w:val="00E4662E"/>
    <w:rsid w:val="00E472C2"/>
    <w:rsid w:val="00E8203E"/>
    <w:rsid w:val="00E83249"/>
    <w:rsid w:val="00EF1251"/>
    <w:rsid w:val="00EF60AF"/>
    <w:rsid w:val="00F07D67"/>
    <w:rsid w:val="00F27451"/>
    <w:rsid w:val="00F311EF"/>
    <w:rsid w:val="00F46138"/>
    <w:rsid w:val="00FA5AB1"/>
    <w:rsid w:val="00FC3690"/>
    <w:rsid w:val="00FC5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32"/>
    <o:shapelayout v:ext="edit">
      <o:idmap v:ext="edit" data="1"/>
    </o:shapelayout>
  </w:shapeDefaults>
  <w:decimalSymbol w:val="."/>
  <w:listSeparator w:val=";"/>
  <w14:docId w14:val="412AF634"/>
  <w15:docId w15:val="{7ABEB412-FFDD-4F43-A48F-D50F86F4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1471C"/>
    <w:rPr>
      <w:rFonts w:ascii="Arial" w:eastAsiaTheme="minorHAnsi" w:hAnsi="Arial"/>
      <w:sz w:val="22"/>
      <w:szCs w:val="22"/>
      <w:lang w:val="de-CH"/>
    </w:rPr>
  </w:style>
  <w:style w:type="paragraph" w:styleId="berschrift1">
    <w:name w:val="heading 1"/>
    <w:basedOn w:val="Standard"/>
    <w:next w:val="Standard"/>
    <w:link w:val="berschrift1Zchn"/>
    <w:qFormat/>
    <w:rsid w:val="00C6733C"/>
    <w:pPr>
      <w:keepNext/>
      <w:numPr>
        <w:numId w:val="21"/>
      </w:numPr>
      <w:spacing w:before="220" w:after="110"/>
      <w:outlineLvl w:val="0"/>
    </w:pPr>
    <w:rPr>
      <w:b/>
    </w:rPr>
  </w:style>
  <w:style w:type="paragraph" w:styleId="berschrift2">
    <w:name w:val="heading 2"/>
    <w:basedOn w:val="berschrift1"/>
    <w:next w:val="Traktandum"/>
    <w:link w:val="berschrift2Zchn"/>
    <w:unhideWhenUsed/>
    <w:qFormat/>
    <w:rsid w:val="00C6733C"/>
    <w:pPr>
      <w:numPr>
        <w:ilvl w:val="1"/>
      </w:numPr>
      <w:outlineLvl w:val="1"/>
    </w:pPr>
  </w:style>
  <w:style w:type="paragraph" w:styleId="berschrift3">
    <w:name w:val="heading 3"/>
    <w:basedOn w:val="berschrift1"/>
    <w:next w:val="Traktandum"/>
    <w:link w:val="berschrift3Zchn"/>
    <w:unhideWhenUsed/>
    <w:qFormat/>
    <w:rsid w:val="00C6733C"/>
    <w:pPr>
      <w:keepLines/>
      <w:numPr>
        <w:ilvl w:val="2"/>
      </w:numPr>
      <w:spacing w:before="200"/>
      <w:outlineLvl w:val="2"/>
    </w:pPr>
    <w:rPr>
      <w:rFonts w:eastAsiaTheme="majorEastAsia" w:cstheme="majorBidi"/>
      <w:b w:val="0"/>
      <w:bCs/>
      <w:i/>
    </w:rPr>
  </w:style>
  <w:style w:type="paragraph" w:styleId="berschrift4">
    <w:name w:val="heading 4"/>
    <w:basedOn w:val="berschrift3"/>
    <w:next w:val="Standard"/>
    <w:link w:val="berschrift4Zchn"/>
    <w:semiHidden/>
    <w:qFormat/>
    <w:rsid w:val="00C6733C"/>
    <w:pPr>
      <w:numPr>
        <w:ilvl w:val="3"/>
        <w:numId w:val="24"/>
      </w:numPr>
      <w:outlineLvl w:val="3"/>
    </w:pPr>
    <w:rPr>
      <w:bCs w:val="0"/>
      <w:i w:val="0"/>
      <w:iCs/>
    </w:rPr>
  </w:style>
  <w:style w:type="paragraph" w:styleId="berschrift5">
    <w:name w:val="heading 5"/>
    <w:basedOn w:val="berschrift4"/>
    <w:next w:val="Standard"/>
    <w:link w:val="berschrift5Zchn"/>
    <w:semiHidden/>
    <w:qFormat/>
    <w:rsid w:val="00C6733C"/>
    <w:pPr>
      <w:numPr>
        <w:ilvl w:val="4"/>
      </w:numPr>
      <w:outlineLvl w:val="4"/>
    </w:pPr>
  </w:style>
  <w:style w:type="paragraph" w:styleId="berschrift6">
    <w:name w:val="heading 6"/>
    <w:basedOn w:val="berschrift5"/>
    <w:next w:val="Standard"/>
    <w:link w:val="berschrift6Zchn"/>
    <w:semiHidden/>
    <w:qFormat/>
    <w:rsid w:val="00C6733C"/>
    <w:pPr>
      <w:numPr>
        <w:ilvl w:val="5"/>
      </w:numPr>
      <w:outlineLvl w:val="5"/>
    </w:pPr>
    <w:rPr>
      <w:iCs w:val="0"/>
    </w:rPr>
  </w:style>
  <w:style w:type="paragraph" w:styleId="berschrift7">
    <w:name w:val="heading 7"/>
    <w:basedOn w:val="Standard"/>
    <w:next w:val="Standard"/>
    <w:link w:val="berschrift7Zchn"/>
    <w:semiHidden/>
    <w:qFormat/>
    <w:rsid w:val="00C6733C"/>
    <w:pPr>
      <w:spacing w:before="240" w:after="60" w:line="264" w:lineRule="auto"/>
      <w:outlineLvl w:val="6"/>
    </w:pPr>
    <w:rPr>
      <w:rFonts w:eastAsia="Times New Roman" w:cs="Times New Roman"/>
      <w:sz w:val="20"/>
      <w:szCs w:val="20"/>
      <w:lang w:eastAsia="de-DE"/>
    </w:rPr>
  </w:style>
  <w:style w:type="paragraph" w:styleId="berschrift8">
    <w:name w:val="heading 8"/>
    <w:basedOn w:val="Standard"/>
    <w:next w:val="Standard"/>
    <w:link w:val="berschrift8Zchn"/>
    <w:semiHidden/>
    <w:qFormat/>
    <w:rsid w:val="00C6733C"/>
    <w:pPr>
      <w:spacing w:before="240" w:after="60" w:line="264" w:lineRule="auto"/>
      <w:outlineLvl w:val="7"/>
    </w:pPr>
    <w:rPr>
      <w:rFonts w:eastAsia="Times New Roman" w:cs="Times New Roman"/>
      <w:i/>
      <w:sz w:val="20"/>
      <w:szCs w:val="20"/>
      <w:lang w:eastAsia="de-DE"/>
    </w:rPr>
  </w:style>
  <w:style w:type="paragraph" w:styleId="berschrift9">
    <w:name w:val="heading 9"/>
    <w:basedOn w:val="Standard"/>
    <w:next w:val="Standard"/>
    <w:link w:val="berschrift9Zchn"/>
    <w:semiHidden/>
    <w:qFormat/>
    <w:rsid w:val="00C6733C"/>
    <w:pPr>
      <w:spacing w:before="240" w:after="60" w:line="264" w:lineRule="auto"/>
      <w:outlineLvl w:val="8"/>
    </w:pPr>
    <w:rPr>
      <w:rFonts w:eastAsia="Times New Roman" w:cs="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C6733C"/>
    <w:pPr>
      <w:tabs>
        <w:tab w:val="center" w:pos="4320"/>
        <w:tab w:val="right" w:pos="8640"/>
      </w:tabs>
    </w:pPr>
  </w:style>
  <w:style w:type="paragraph" w:customStyle="1" w:styleId="Absender">
    <w:name w:val="Absender"/>
    <w:basedOn w:val="Standard"/>
    <w:semiHidden/>
    <w:qFormat/>
    <w:rsid w:val="00C6733C"/>
    <w:pPr>
      <w:spacing w:line="200" w:lineRule="exact"/>
    </w:pPr>
    <w:rPr>
      <w:color w:val="FF0000"/>
      <w:sz w:val="16"/>
    </w:rPr>
  </w:style>
  <w:style w:type="paragraph" w:customStyle="1" w:styleId="Absenderzeile">
    <w:name w:val="Absenderzeile"/>
    <w:basedOn w:val="Standard"/>
    <w:semiHidden/>
    <w:unhideWhenUsed/>
    <w:qFormat/>
    <w:rsid w:val="00C6733C"/>
    <w:rPr>
      <w:sz w:val="14"/>
      <w:szCs w:val="14"/>
      <w:u w:val="single"/>
    </w:rPr>
  </w:style>
  <w:style w:type="paragraph" w:customStyle="1" w:styleId="Betreff">
    <w:name w:val="Betreff"/>
    <w:basedOn w:val="Standard"/>
    <w:uiPriority w:val="4"/>
    <w:qFormat/>
    <w:rsid w:val="0090406E"/>
    <w:rPr>
      <w:b/>
    </w:rPr>
  </w:style>
  <w:style w:type="paragraph" w:customStyle="1" w:styleId="Seitenzahlrechts">
    <w:name w:val="Seitenzahl rechts"/>
    <w:basedOn w:val="Standard"/>
    <w:semiHidden/>
    <w:unhideWhenUsed/>
    <w:qFormat/>
    <w:rsid w:val="00C6733C"/>
    <w:pPr>
      <w:tabs>
        <w:tab w:val="center" w:pos="4820"/>
        <w:tab w:val="right" w:pos="9639"/>
      </w:tabs>
    </w:pPr>
    <w:rPr>
      <w:sz w:val="16"/>
    </w:rPr>
  </w:style>
  <w:style w:type="character" w:customStyle="1" w:styleId="KopfzeileZchn">
    <w:name w:val="Kopfzeile Zchn"/>
    <w:basedOn w:val="Absatz-Standardschriftart"/>
    <w:link w:val="Kopfzeile"/>
    <w:semiHidden/>
    <w:rsid w:val="00C6733C"/>
    <w:rPr>
      <w:rFonts w:ascii="Arial" w:hAnsi="Arial"/>
      <w:sz w:val="22"/>
      <w:lang w:val="de-CH"/>
    </w:rPr>
  </w:style>
  <w:style w:type="paragraph" w:styleId="Fuzeile">
    <w:name w:val="footer"/>
    <w:basedOn w:val="Standard"/>
    <w:link w:val="FuzeileZchn"/>
    <w:uiPriority w:val="99"/>
    <w:semiHidden/>
    <w:rsid w:val="00C6733C"/>
    <w:pPr>
      <w:tabs>
        <w:tab w:val="center" w:pos="4320"/>
        <w:tab w:val="right" w:pos="8640"/>
      </w:tabs>
    </w:pPr>
  </w:style>
  <w:style w:type="character" w:customStyle="1" w:styleId="FuzeileZchn">
    <w:name w:val="Fußzeile Zchn"/>
    <w:basedOn w:val="Absatz-Standardschriftart"/>
    <w:link w:val="Fuzeile"/>
    <w:uiPriority w:val="99"/>
    <w:semiHidden/>
    <w:rsid w:val="00C6733C"/>
    <w:rPr>
      <w:rFonts w:ascii="Arial" w:hAnsi="Arial"/>
      <w:sz w:val="22"/>
      <w:lang w:val="de-CH"/>
    </w:rPr>
  </w:style>
  <w:style w:type="paragraph" w:styleId="Sprechblasentext">
    <w:name w:val="Balloon Text"/>
    <w:basedOn w:val="Standard"/>
    <w:link w:val="SprechblasentextZchn"/>
    <w:uiPriority w:val="99"/>
    <w:semiHidden/>
    <w:rsid w:val="00C6733C"/>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6733C"/>
    <w:rPr>
      <w:rFonts w:ascii="Lucida Grande" w:hAnsi="Lucida Grande" w:cs="Lucida Grande"/>
      <w:sz w:val="18"/>
      <w:szCs w:val="18"/>
      <w:lang w:val="de-CH"/>
    </w:rPr>
  </w:style>
  <w:style w:type="paragraph" w:styleId="Listenabsatz">
    <w:name w:val="List Paragraph"/>
    <w:basedOn w:val="Standard"/>
    <w:uiPriority w:val="34"/>
    <w:qFormat/>
    <w:rsid w:val="00C6733C"/>
    <w:pPr>
      <w:ind w:left="720"/>
      <w:contextualSpacing/>
    </w:pPr>
  </w:style>
  <w:style w:type="paragraph" w:customStyle="1" w:styleId="Listeunnummeriert">
    <w:name w:val="Liste unnummeriert"/>
    <w:basedOn w:val="Standard"/>
    <w:uiPriority w:val="1"/>
    <w:qFormat/>
    <w:rsid w:val="003D696C"/>
    <w:pPr>
      <w:numPr>
        <w:numId w:val="17"/>
      </w:numPr>
      <w:ind w:left="1276"/>
    </w:pPr>
    <w:rPr>
      <w:noProof/>
    </w:rPr>
  </w:style>
  <w:style w:type="paragraph" w:customStyle="1" w:styleId="Listenummeriert">
    <w:name w:val="Liste nummeriert"/>
    <w:basedOn w:val="Standard"/>
    <w:uiPriority w:val="4"/>
    <w:qFormat/>
    <w:rsid w:val="003D696C"/>
    <w:pPr>
      <w:numPr>
        <w:numId w:val="14"/>
      </w:numPr>
    </w:pPr>
  </w:style>
  <w:style w:type="character" w:customStyle="1" w:styleId="berschrift1Zchn">
    <w:name w:val="Überschrift 1 Zchn"/>
    <w:basedOn w:val="Absatz-Standardschriftart"/>
    <w:link w:val="berschrift1"/>
    <w:rsid w:val="00C6733C"/>
    <w:rPr>
      <w:rFonts w:ascii="Arial" w:hAnsi="Arial"/>
      <w:b/>
      <w:sz w:val="22"/>
      <w:lang w:val="de-CH"/>
    </w:rPr>
  </w:style>
  <w:style w:type="character" w:customStyle="1" w:styleId="berschrift2Zchn">
    <w:name w:val="Überschrift 2 Zchn"/>
    <w:basedOn w:val="Absatz-Standardschriftart"/>
    <w:link w:val="berschrift2"/>
    <w:rsid w:val="00C6733C"/>
    <w:rPr>
      <w:rFonts w:ascii="Arial" w:hAnsi="Arial"/>
      <w:b/>
      <w:sz w:val="22"/>
      <w:lang w:val="de-CH"/>
    </w:rPr>
  </w:style>
  <w:style w:type="paragraph" w:styleId="Titel">
    <w:name w:val="Title"/>
    <w:basedOn w:val="Standard"/>
    <w:next w:val="Standard"/>
    <w:link w:val="TitelZchn"/>
    <w:uiPriority w:val="10"/>
    <w:qFormat/>
    <w:rsid w:val="00C6733C"/>
    <w:rPr>
      <w:b/>
      <w:sz w:val="28"/>
    </w:rPr>
  </w:style>
  <w:style w:type="character" w:customStyle="1" w:styleId="TitelZchn">
    <w:name w:val="Titel Zchn"/>
    <w:basedOn w:val="Absatz-Standardschriftart"/>
    <w:link w:val="Titel"/>
    <w:uiPriority w:val="10"/>
    <w:rsid w:val="00C6733C"/>
    <w:rPr>
      <w:rFonts w:ascii="Arial" w:hAnsi="Arial"/>
      <w:b/>
      <w:sz w:val="28"/>
      <w:lang w:val="de-CH"/>
    </w:rPr>
  </w:style>
  <w:style w:type="paragraph" w:customStyle="1" w:styleId="Beilagen">
    <w:name w:val="Beilagen"/>
    <w:basedOn w:val="Listenabsatz"/>
    <w:qFormat/>
    <w:rsid w:val="00C6733C"/>
    <w:pPr>
      <w:numPr>
        <w:numId w:val="10"/>
      </w:numPr>
    </w:pPr>
  </w:style>
  <w:style w:type="character" w:styleId="Platzhaltertext">
    <w:name w:val="Placeholder Text"/>
    <w:basedOn w:val="Absatz-Standardschriftart"/>
    <w:uiPriority w:val="99"/>
    <w:semiHidden/>
    <w:rsid w:val="00C6733C"/>
    <w:rPr>
      <w:color w:val="808080"/>
    </w:rPr>
  </w:style>
  <w:style w:type="numbering" w:customStyle="1" w:styleId="AktennotizTraktanden">
    <w:name w:val="Aktennotiz Traktanden"/>
    <w:uiPriority w:val="99"/>
    <w:rsid w:val="00C6733C"/>
    <w:pPr>
      <w:numPr>
        <w:numId w:val="9"/>
      </w:numPr>
    </w:pPr>
  </w:style>
  <w:style w:type="paragraph" w:customStyle="1" w:styleId="Beschluss1">
    <w:name w:val="Beschluss 1."/>
    <w:basedOn w:val="Standard"/>
    <w:rsid w:val="00C6733C"/>
    <w:pPr>
      <w:tabs>
        <w:tab w:val="left" w:pos="567"/>
      </w:tabs>
      <w:spacing w:line="264" w:lineRule="auto"/>
      <w:ind w:left="1021" w:hanging="1021"/>
    </w:pPr>
    <w:rPr>
      <w:rFonts w:eastAsia="Times New Roman" w:cs="Times New Roman"/>
      <w:szCs w:val="20"/>
      <w:lang w:eastAsia="de-CH"/>
    </w:rPr>
  </w:style>
  <w:style w:type="paragraph" w:customStyle="1" w:styleId="Bildlegende">
    <w:name w:val="Bildlegende"/>
    <w:basedOn w:val="Standard"/>
    <w:qFormat/>
    <w:rsid w:val="00C6733C"/>
    <w:pPr>
      <w:spacing w:before="80"/>
    </w:pPr>
    <w:rPr>
      <w:sz w:val="16"/>
    </w:rPr>
  </w:style>
  <w:style w:type="paragraph" w:styleId="Funotentext">
    <w:name w:val="footnote text"/>
    <w:basedOn w:val="Standard"/>
    <w:link w:val="FunotentextZchn"/>
    <w:uiPriority w:val="99"/>
    <w:rsid w:val="00C6733C"/>
    <w:rPr>
      <w:sz w:val="16"/>
      <w:szCs w:val="20"/>
    </w:rPr>
  </w:style>
  <w:style w:type="character" w:customStyle="1" w:styleId="FunotentextZchn">
    <w:name w:val="Fußnotentext Zchn"/>
    <w:basedOn w:val="Absatz-Standardschriftart"/>
    <w:link w:val="Funotentext"/>
    <w:uiPriority w:val="99"/>
    <w:rsid w:val="00C6733C"/>
    <w:rPr>
      <w:rFonts w:ascii="Arial" w:hAnsi="Arial"/>
      <w:sz w:val="16"/>
      <w:szCs w:val="20"/>
      <w:lang w:val="de-CH"/>
    </w:rPr>
  </w:style>
  <w:style w:type="character" w:styleId="Funotenzeichen">
    <w:name w:val="footnote reference"/>
    <w:basedOn w:val="Absatz-Standardschriftart"/>
    <w:uiPriority w:val="99"/>
    <w:semiHidden/>
    <w:rsid w:val="00C6733C"/>
    <w:rPr>
      <w:vertAlign w:val="superscript"/>
    </w:rPr>
  </w:style>
  <w:style w:type="paragraph" w:customStyle="1" w:styleId="Geschftsnummer">
    <w:name w:val="Geschäftsnummer"/>
    <w:basedOn w:val="Standard"/>
    <w:qFormat/>
    <w:rsid w:val="00C6733C"/>
    <w:pPr>
      <w:jc w:val="right"/>
    </w:pPr>
    <w:rPr>
      <w:rFonts w:cs="Arial"/>
      <w:b/>
      <w:sz w:val="28"/>
      <w:szCs w:val="28"/>
    </w:rPr>
  </w:style>
  <w:style w:type="paragraph" w:customStyle="1" w:styleId="GesetzesnderungAbsatz">
    <w:name w:val="Gesetzesänderung Absatz"/>
    <w:basedOn w:val="Listenabsatz"/>
    <w:qFormat/>
    <w:rsid w:val="00C6733C"/>
    <w:pPr>
      <w:numPr>
        <w:numId w:val="11"/>
      </w:numPr>
    </w:pPr>
  </w:style>
  <w:style w:type="character" w:styleId="Hyperlink">
    <w:name w:val="Hyperlink"/>
    <w:uiPriority w:val="99"/>
    <w:rsid w:val="00C6733C"/>
    <w:rPr>
      <w:color w:val="0000FF"/>
      <w:u w:val="single"/>
    </w:rPr>
  </w:style>
  <w:style w:type="paragraph" w:styleId="Verzeichnis2">
    <w:name w:val="toc 2"/>
    <w:basedOn w:val="Standard"/>
    <w:next w:val="Standard"/>
    <w:autoRedefine/>
    <w:uiPriority w:val="39"/>
    <w:qFormat/>
    <w:rsid w:val="00C6733C"/>
    <w:pPr>
      <w:tabs>
        <w:tab w:val="left" w:pos="1276"/>
        <w:tab w:val="right" w:pos="9639"/>
      </w:tabs>
      <w:spacing w:line="264" w:lineRule="auto"/>
      <w:ind w:left="1276" w:right="425" w:hanging="992"/>
    </w:pPr>
    <w:rPr>
      <w:rFonts w:eastAsia="Times New Roman" w:cs="Times New Roman"/>
      <w:szCs w:val="20"/>
      <w:lang w:eastAsia="de-DE"/>
    </w:rPr>
  </w:style>
  <w:style w:type="paragraph" w:customStyle="1" w:styleId="Inhaltsverzeichnis">
    <w:name w:val="Inhaltsverzeichnis"/>
    <w:basedOn w:val="Verzeichnis2"/>
    <w:qFormat/>
    <w:rsid w:val="00C6733C"/>
    <w:rPr>
      <w:noProof/>
    </w:rPr>
  </w:style>
  <w:style w:type="numbering" w:customStyle="1" w:styleId="InhaltsverzeichnisNummern">
    <w:name w:val="Inhaltsverzeichnis Nummern"/>
    <w:uiPriority w:val="99"/>
    <w:rsid w:val="00C6733C"/>
    <w:pPr>
      <w:numPr>
        <w:numId w:val="12"/>
      </w:numPr>
    </w:pPr>
  </w:style>
  <w:style w:type="paragraph" w:styleId="Inhaltsverzeichnisberschrift">
    <w:name w:val="TOC Heading"/>
    <w:basedOn w:val="berschrift1"/>
    <w:next w:val="Standard"/>
    <w:uiPriority w:val="39"/>
    <w:semiHidden/>
    <w:qFormat/>
    <w:rsid w:val="00C6733C"/>
    <w:pPr>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eastAsia="de-CH"/>
    </w:rPr>
  </w:style>
  <w:style w:type="paragraph" w:styleId="KeinLeerraum">
    <w:name w:val="No Spacing"/>
    <w:uiPriority w:val="1"/>
    <w:qFormat/>
    <w:rsid w:val="00C6733C"/>
    <w:pPr>
      <w:tabs>
        <w:tab w:val="left" w:pos="5103"/>
      </w:tabs>
    </w:pPr>
    <w:rPr>
      <w:rFonts w:ascii="Arial" w:hAnsi="Arial"/>
      <w:sz w:val="22"/>
      <w:lang w:val="de-CH"/>
    </w:rPr>
  </w:style>
  <w:style w:type="paragraph" w:styleId="Kommentartext">
    <w:name w:val="annotation text"/>
    <w:basedOn w:val="Standard"/>
    <w:link w:val="KommentartextZchn"/>
    <w:uiPriority w:val="99"/>
    <w:semiHidden/>
    <w:rsid w:val="00C6733C"/>
    <w:rPr>
      <w:sz w:val="20"/>
      <w:szCs w:val="20"/>
    </w:rPr>
  </w:style>
  <w:style w:type="character" w:customStyle="1" w:styleId="KommentartextZchn">
    <w:name w:val="Kommentartext Zchn"/>
    <w:basedOn w:val="Absatz-Standardschriftart"/>
    <w:link w:val="Kommentartext"/>
    <w:uiPriority w:val="99"/>
    <w:semiHidden/>
    <w:rsid w:val="00C6733C"/>
    <w:rPr>
      <w:rFonts w:ascii="Arial" w:hAnsi="Arial"/>
      <w:sz w:val="20"/>
      <w:szCs w:val="20"/>
      <w:lang w:val="de-CH"/>
    </w:rPr>
  </w:style>
  <w:style w:type="character" w:styleId="Kommentarzeichen">
    <w:name w:val="annotation reference"/>
    <w:basedOn w:val="Absatz-Standardschriftart"/>
    <w:uiPriority w:val="99"/>
    <w:semiHidden/>
    <w:rsid w:val="00C6733C"/>
    <w:rPr>
      <w:sz w:val="16"/>
      <w:szCs w:val="16"/>
    </w:rPr>
  </w:style>
  <w:style w:type="numbering" w:customStyle="1" w:styleId="Listenummeriertalt">
    <w:name w:val="Liste nummeriert alt"/>
    <w:uiPriority w:val="99"/>
    <w:rsid w:val="00C6733C"/>
    <w:pPr>
      <w:numPr>
        <w:numId w:val="15"/>
      </w:numPr>
    </w:pPr>
  </w:style>
  <w:style w:type="numbering" w:customStyle="1" w:styleId="Listeunnummeriertneu">
    <w:name w:val="Liste unnummeriert neu"/>
    <w:uiPriority w:val="99"/>
    <w:rsid w:val="00C6733C"/>
    <w:pPr>
      <w:numPr>
        <w:numId w:val="17"/>
      </w:numPr>
    </w:pPr>
  </w:style>
  <w:style w:type="paragraph" w:customStyle="1" w:styleId="Nummerierungrmisch">
    <w:name w:val="Nummerierung römisch"/>
    <w:basedOn w:val="Standard"/>
    <w:qFormat/>
    <w:rsid w:val="00C6733C"/>
    <w:pPr>
      <w:spacing w:before="220"/>
    </w:pPr>
  </w:style>
  <w:style w:type="numbering" w:customStyle="1" w:styleId="ParlamentsdiensteProtokoll">
    <w:name w:val="Parlamentsdienste Protokoll"/>
    <w:uiPriority w:val="99"/>
    <w:rsid w:val="00C6733C"/>
    <w:pPr>
      <w:numPr>
        <w:numId w:val="18"/>
      </w:numPr>
    </w:pPr>
  </w:style>
  <w:style w:type="character" w:styleId="Seitenzahl">
    <w:name w:val="page number"/>
    <w:basedOn w:val="Absatz-Standardschriftart"/>
    <w:semiHidden/>
    <w:rsid w:val="00C6733C"/>
  </w:style>
  <w:style w:type="paragraph" w:customStyle="1" w:styleId="Sitzungsdetails">
    <w:name w:val="Sitzungsdetails"/>
    <w:basedOn w:val="Standard"/>
    <w:semiHidden/>
    <w:qFormat/>
    <w:rsid w:val="00C6733C"/>
    <w:pPr>
      <w:ind w:left="1418" w:hanging="1418"/>
    </w:pPr>
    <w:rPr>
      <w:lang w:val="en-US"/>
    </w:rPr>
  </w:style>
  <w:style w:type="paragraph" w:customStyle="1" w:styleId="Tabelle">
    <w:name w:val="Tabelle"/>
    <w:basedOn w:val="Standard"/>
    <w:qFormat/>
    <w:rsid w:val="00C6733C"/>
    <w:rPr>
      <w:sz w:val="16"/>
    </w:rPr>
  </w:style>
  <w:style w:type="table" w:customStyle="1" w:styleId="TabellenCDBL">
    <w:name w:val="Tabellen CD BL"/>
    <w:basedOn w:val="NormaleTabelle"/>
    <w:uiPriority w:val="99"/>
    <w:rsid w:val="00C6733C"/>
    <w:rPr>
      <w:rFonts w:ascii="Arial" w:hAnsi="Arial"/>
      <w:sz w:val="16"/>
    </w:rPr>
    <w:tblPr>
      <w:tblBorders>
        <w:bottom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b/>
      </w:rPr>
      <w:tblPr/>
      <w:tcPr>
        <w:tcBorders>
          <w:bottom w:val="single" w:sz="8" w:space="0" w:color="auto"/>
        </w:tcBorders>
      </w:tcPr>
    </w:tblStylePr>
  </w:style>
  <w:style w:type="table" w:styleId="Tabellenraster">
    <w:name w:val="Table Grid"/>
    <w:basedOn w:val="NormaleTabelle"/>
    <w:uiPriority w:val="59"/>
    <w:rsid w:val="00C6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ktandenliste">
    <w:name w:val="Traktandenliste"/>
    <w:basedOn w:val="Standard"/>
    <w:semiHidden/>
    <w:qFormat/>
    <w:rsid w:val="00C6733C"/>
    <w:pPr>
      <w:numPr>
        <w:numId w:val="19"/>
      </w:numPr>
      <w:spacing w:before="110"/>
    </w:pPr>
  </w:style>
  <w:style w:type="paragraph" w:customStyle="1" w:styleId="Traktandum">
    <w:name w:val="Traktandum"/>
    <w:basedOn w:val="Standard"/>
    <w:semiHidden/>
    <w:qFormat/>
    <w:rsid w:val="00C6733C"/>
    <w:pPr>
      <w:ind w:left="567"/>
    </w:pPr>
  </w:style>
  <w:style w:type="paragraph" w:customStyle="1" w:styleId="Trennlinie">
    <w:name w:val="Trennlinie"/>
    <w:basedOn w:val="Standard"/>
    <w:semiHidden/>
    <w:qFormat/>
    <w:rsid w:val="00C6733C"/>
    <w:pPr>
      <w:pBdr>
        <w:bottom w:val="single" w:sz="4" w:space="1" w:color="auto"/>
      </w:pBdr>
    </w:pPr>
    <w:rPr>
      <w:b/>
      <w:bCs/>
      <w:lang w:val="en-US"/>
    </w:rPr>
  </w:style>
  <w:style w:type="character" w:customStyle="1" w:styleId="berschrift3Zchn">
    <w:name w:val="Überschrift 3 Zchn"/>
    <w:basedOn w:val="Absatz-Standardschriftart"/>
    <w:link w:val="berschrift3"/>
    <w:rsid w:val="00C6733C"/>
    <w:rPr>
      <w:rFonts w:ascii="Arial" w:eastAsiaTheme="majorEastAsia" w:hAnsi="Arial" w:cstheme="majorBidi"/>
      <w:bCs/>
      <w:i/>
      <w:sz w:val="22"/>
      <w:lang w:val="de-CH"/>
    </w:rPr>
  </w:style>
  <w:style w:type="character" w:customStyle="1" w:styleId="berschrift4Zchn">
    <w:name w:val="Überschrift 4 Zchn"/>
    <w:basedOn w:val="Absatz-Standardschriftart"/>
    <w:link w:val="berschrift4"/>
    <w:semiHidden/>
    <w:rsid w:val="00C6733C"/>
    <w:rPr>
      <w:rFonts w:ascii="Arial" w:eastAsiaTheme="majorEastAsia" w:hAnsi="Arial" w:cstheme="majorBidi"/>
      <w:iCs/>
      <w:sz w:val="22"/>
      <w:lang w:val="de-CH"/>
    </w:rPr>
  </w:style>
  <w:style w:type="character" w:customStyle="1" w:styleId="berschrift5Zchn">
    <w:name w:val="Überschrift 5 Zchn"/>
    <w:basedOn w:val="Absatz-Standardschriftart"/>
    <w:link w:val="berschrift5"/>
    <w:semiHidden/>
    <w:rsid w:val="00C6733C"/>
    <w:rPr>
      <w:rFonts w:ascii="Arial" w:eastAsiaTheme="majorEastAsia" w:hAnsi="Arial" w:cstheme="majorBidi"/>
      <w:iCs/>
      <w:sz w:val="22"/>
      <w:lang w:val="de-CH"/>
    </w:rPr>
  </w:style>
  <w:style w:type="character" w:customStyle="1" w:styleId="berschrift6Zchn">
    <w:name w:val="Überschrift 6 Zchn"/>
    <w:basedOn w:val="Absatz-Standardschriftart"/>
    <w:link w:val="berschrift6"/>
    <w:semiHidden/>
    <w:rsid w:val="00C6733C"/>
    <w:rPr>
      <w:rFonts w:ascii="Arial" w:eastAsiaTheme="majorEastAsia" w:hAnsi="Arial" w:cstheme="majorBidi"/>
      <w:sz w:val="22"/>
      <w:lang w:val="de-CH"/>
    </w:rPr>
  </w:style>
  <w:style w:type="character" w:customStyle="1" w:styleId="berschrift7Zchn">
    <w:name w:val="Überschrift 7 Zchn"/>
    <w:basedOn w:val="Absatz-Standardschriftart"/>
    <w:link w:val="berschrift7"/>
    <w:semiHidden/>
    <w:rsid w:val="00C6733C"/>
    <w:rPr>
      <w:rFonts w:ascii="Arial" w:eastAsia="Times New Roman" w:hAnsi="Arial" w:cs="Times New Roman"/>
      <w:sz w:val="20"/>
      <w:szCs w:val="20"/>
      <w:lang w:val="de-CH" w:eastAsia="de-DE"/>
    </w:rPr>
  </w:style>
  <w:style w:type="character" w:customStyle="1" w:styleId="berschrift8Zchn">
    <w:name w:val="Überschrift 8 Zchn"/>
    <w:basedOn w:val="Absatz-Standardschriftart"/>
    <w:link w:val="berschrift8"/>
    <w:semiHidden/>
    <w:rsid w:val="00C6733C"/>
    <w:rPr>
      <w:rFonts w:ascii="Arial" w:eastAsia="Times New Roman" w:hAnsi="Arial" w:cs="Times New Roman"/>
      <w:i/>
      <w:sz w:val="20"/>
      <w:szCs w:val="20"/>
      <w:lang w:val="de-CH" w:eastAsia="de-DE"/>
    </w:rPr>
  </w:style>
  <w:style w:type="character" w:customStyle="1" w:styleId="berschrift9Zchn">
    <w:name w:val="Überschrift 9 Zchn"/>
    <w:basedOn w:val="Absatz-Standardschriftart"/>
    <w:link w:val="berschrift9"/>
    <w:semiHidden/>
    <w:rsid w:val="00C6733C"/>
    <w:rPr>
      <w:rFonts w:ascii="Arial" w:eastAsia="Times New Roman" w:hAnsi="Arial" w:cs="Times New Roman"/>
      <w:i/>
      <w:sz w:val="18"/>
      <w:szCs w:val="20"/>
      <w:lang w:val="de-CH" w:eastAsia="de-DE"/>
    </w:rPr>
  </w:style>
  <w:style w:type="paragraph" w:styleId="Untertitel">
    <w:name w:val="Subtitle"/>
    <w:basedOn w:val="Standard"/>
    <w:next w:val="Standard"/>
    <w:link w:val="UntertitelZchn"/>
    <w:uiPriority w:val="11"/>
    <w:qFormat/>
    <w:rsid w:val="00C6733C"/>
    <w:rPr>
      <w:b/>
    </w:rPr>
  </w:style>
  <w:style w:type="character" w:customStyle="1" w:styleId="UntertitelZchn">
    <w:name w:val="Untertitel Zchn"/>
    <w:basedOn w:val="Absatz-Standardschriftart"/>
    <w:link w:val="Untertitel"/>
    <w:uiPriority w:val="11"/>
    <w:rsid w:val="00C6733C"/>
    <w:rPr>
      <w:rFonts w:ascii="Arial" w:hAnsi="Arial"/>
      <w:b/>
      <w:sz w:val="22"/>
      <w:lang w:val="de-CH"/>
    </w:rPr>
  </w:style>
  <w:style w:type="paragraph" w:styleId="Verzeichnis1">
    <w:name w:val="toc 1"/>
    <w:basedOn w:val="Standard"/>
    <w:next w:val="Standard"/>
    <w:autoRedefine/>
    <w:uiPriority w:val="39"/>
    <w:qFormat/>
    <w:rsid w:val="00C6733C"/>
    <w:pPr>
      <w:tabs>
        <w:tab w:val="left" w:pos="1276"/>
        <w:tab w:val="right" w:leader="dot" w:pos="9629"/>
      </w:tabs>
      <w:spacing w:line="264" w:lineRule="auto"/>
      <w:ind w:left="1276" w:hanging="1276"/>
    </w:pPr>
    <w:rPr>
      <w:rFonts w:eastAsia="Times New Roman" w:cs="Times New Roman"/>
      <w:szCs w:val="20"/>
      <w:lang w:eastAsia="de-DE"/>
    </w:rPr>
  </w:style>
  <w:style w:type="paragraph" w:styleId="Verzeichnis3">
    <w:name w:val="toc 3"/>
    <w:basedOn w:val="Verzeichnis2"/>
    <w:next w:val="Standard"/>
    <w:autoRedefine/>
    <w:uiPriority w:val="39"/>
    <w:qFormat/>
    <w:rsid w:val="00C6733C"/>
    <w:pPr>
      <w:spacing w:line="276" w:lineRule="auto"/>
      <w:ind w:left="1559"/>
    </w:pPr>
    <w:rPr>
      <w:i/>
      <w:szCs w:val="22"/>
      <w:lang w:eastAsia="de-CH"/>
    </w:rPr>
  </w:style>
  <w:style w:type="paragraph" w:customStyle="1" w:styleId="Zwischentitel">
    <w:name w:val="Zwischentitel"/>
    <w:basedOn w:val="Standard"/>
    <w:qFormat/>
    <w:rsid w:val="00C6733C"/>
  </w:style>
  <w:style w:type="paragraph" w:customStyle="1" w:styleId="Default">
    <w:name w:val="Default"/>
    <w:rsid w:val="0031471C"/>
    <w:pPr>
      <w:autoSpaceDE w:val="0"/>
      <w:autoSpaceDN w:val="0"/>
      <w:adjustRightInd w:val="0"/>
    </w:pPr>
    <w:rPr>
      <w:rFonts w:ascii="Arial" w:eastAsiaTheme="minorHAnsi" w:hAnsi="Arial" w:cs="Arial"/>
      <w:color w:val="000000"/>
      <w:lang w:val="de-CH"/>
    </w:rPr>
  </w:style>
  <w:style w:type="paragraph" w:styleId="Kommentarthema">
    <w:name w:val="annotation subject"/>
    <w:basedOn w:val="Kommentartext"/>
    <w:next w:val="Kommentartext"/>
    <w:link w:val="KommentarthemaZchn"/>
    <w:uiPriority w:val="99"/>
    <w:semiHidden/>
    <w:unhideWhenUsed/>
    <w:rsid w:val="004E429E"/>
    <w:rPr>
      <w:b/>
      <w:bCs/>
    </w:rPr>
  </w:style>
  <w:style w:type="character" w:customStyle="1" w:styleId="KommentarthemaZchn">
    <w:name w:val="Kommentarthema Zchn"/>
    <w:basedOn w:val="KommentartextZchn"/>
    <w:link w:val="Kommentarthema"/>
    <w:uiPriority w:val="99"/>
    <w:semiHidden/>
    <w:rsid w:val="004E429E"/>
    <w:rPr>
      <w:rFonts w:ascii="Arial" w:eastAsiaTheme="minorHAnsi" w:hAnsi="Arial"/>
      <w:b/>
      <w:bCs/>
      <w:sz w:val="20"/>
      <w:szCs w:val="20"/>
      <w:lang w:val="de-CH"/>
    </w:rPr>
  </w:style>
  <w:style w:type="character" w:styleId="BesuchterLink">
    <w:name w:val="FollowedHyperlink"/>
    <w:basedOn w:val="Absatz-Standardschriftart"/>
    <w:uiPriority w:val="99"/>
    <w:semiHidden/>
    <w:unhideWhenUsed/>
    <w:rsid w:val="00755EF6"/>
    <w:rPr>
      <w:color w:val="800080" w:themeColor="followedHyperlink"/>
      <w:u w:val="single"/>
    </w:rPr>
  </w:style>
  <w:style w:type="paragraph" w:styleId="Textkrper">
    <w:name w:val="Body Text"/>
    <w:basedOn w:val="Standard"/>
    <w:link w:val="TextkrperZchn"/>
    <w:uiPriority w:val="99"/>
    <w:unhideWhenUsed/>
    <w:rsid w:val="00796606"/>
    <w:pPr>
      <w:spacing w:after="120"/>
    </w:pPr>
  </w:style>
  <w:style w:type="character" w:customStyle="1" w:styleId="TextkrperZchn">
    <w:name w:val="Textkörper Zchn"/>
    <w:basedOn w:val="Absatz-Standardschriftart"/>
    <w:link w:val="Textkrper"/>
    <w:uiPriority w:val="99"/>
    <w:rsid w:val="00796606"/>
    <w:rPr>
      <w:rFonts w:ascii="Arial" w:eastAsiaTheme="minorHAnsi" w:hAnsi="Arial"/>
      <w:sz w:val="22"/>
      <w:szCs w:val="22"/>
      <w:lang w:val="de-CH"/>
    </w:rPr>
  </w:style>
  <w:style w:type="table" w:customStyle="1" w:styleId="TableNormal0">
    <w:name w:val="Table Normal_0"/>
    <w:uiPriority w:val="2"/>
    <w:semiHidden/>
    <w:unhideWhenUsed/>
    <w:qFormat/>
    <w:rsid w:val="00EB2617"/>
    <w:pPr>
      <w:widowControl w:val="0"/>
      <w:autoSpaceDE w:val="0"/>
      <w:autoSpaceDN w:val="0"/>
    </w:pPr>
    <w:rPr>
      <w:rFonts w:eastAsiaTheme="minorHAnsi"/>
      <w:sz w:val="22"/>
      <w:szCs w:val="22"/>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EB2617"/>
    <w:pPr>
      <w:widowControl w:val="0"/>
      <w:autoSpaceDE w:val="0"/>
      <w:autoSpaceDN w:val="0"/>
    </w:pPr>
    <w:rPr>
      <w:rFonts w:eastAsia="Arial" w:cs="Arial"/>
    </w:rPr>
  </w:style>
  <w:style w:type="paragraph" w:styleId="berarbeitung">
    <w:name w:val="Revision"/>
    <w:hidden/>
    <w:uiPriority w:val="99"/>
    <w:semiHidden/>
    <w:rsid w:val="007742EA"/>
    <w:rPr>
      <w:rFonts w:ascii="Arial" w:eastAsiaTheme="minorHAnsi" w:hAnsi="Arial"/>
      <w:sz w:val="22"/>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26240">
      <w:bodyDiv w:val="1"/>
      <w:marLeft w:val="0"/>
      <w:marRight w:val="0"/>
      <w:marTop w:val="0"/>
      <w:marBottom w:val="0"/>
      <w:divBdr>
        <w:top w:val="none" w:sz="0" w:space="0" w:color="auto"/>
        <w:left w:val="none" w:sz="0" w:space="0" w:color="auto"/>
        <w:bottom w:val="none" w:sz="0" w:space="0" w:color="auto"/>
        <w:right w:val="none" w:sz="0" w:space="0" w:color="auto"/>
      </w:divBdr>
    </w:div>
    <w:div w:id="462777539">
      <w:bodyDiv w:val="1"/>
      <w:marLeft w:val="0"/>
      <w:marRight w:val="0"/>
      <w:marTop w:val="0"/>
      <w:marBottom w:val="0"/>
      <w:divBdr>
        <w:top w:val="none" w:sz="0" w:space="0" w:color="auto"/>
        <w:left w:val="none" w:sz="0" w:space="0" w:color="auto"/>
        <w:bottom w:val="none" w:sz="0" w:space="0" w:color="auto"/>
        <w:right w:val="none" w:sz="0" w:space="0" w:color="auto"/>
      </w:divBdr>
    </w:div>
    <w:div w:id="477113805">
      <w:bodyDiv w:val="1"/>
      <w:marLeft w:val="0"/>
      <w:marRight w:val="0"/>
      <w:marTop w:val="0"/>
      <w:marBottom w:val="0"/>
      <w:divBdr>
        <w:top w:val="none" w:sz="0" w:space="0" w:color="auto"/>
        <w:left w:val="none" w:sz="0" w:space="0" w:color="auto"/>
        <w:bottom w:val="none" w:sz="0" w:space="0" w:color="auto"/>
        <w:right w:val="none" w:sz="0" w:space="0" w:color="auto"/>
      </w:divBdr>
    </w:div>
    <w:div w:id="1877960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lland.talus.ch/de/politik/cdws/dok_geschaeft.php?did=178a71ed295a4b86911ee835d3605648-332&amp;filename=Vorlage_des_Regierungsrats&amp;v=5&amp;r=PDF&amp;typ=pdf" TargetMode="Externa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bl.clex.ch/app/de/texts_of_law/850.11"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ger.ch/files/live/sites/bger/files/pdf/de/archive/5A_384_2018_2018_09_28_T_d_10_20_02.pdf"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bl.clex.ch/app/de/texts_of_law/850.1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bl.clex.ch/app/de/texts_of_law/850.11"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223348\AppData\Roaming\Microsoft\Templates\BL\05%20Blanko%20quer%20IK%20FKD%20K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F3644-CCA7-4AA2-80BF-6C78D078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 Blanko quer IK FKD KSA</Template>
  <TotalTime>0</TotalTime>
  <Pages>9</Pages>
  <Words>2839</Words>
  <Characters>17890</Characters>
  <Application>Microsoft Office Word</Application>
  <DocSecurity>0</DocSecurity>
  <Lines>149</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MBG Musterreglement GFV BL</vt:lpstr>
      <vt:lpstr/>
    </vt:vector>
  </TitlesOfParts>
  <Company>Kanton Basel Landschaft</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MBG Musterreglement GFV BL</dc:title>
  <dc:creator>Kissling, Isabel FKD</dc:creator>
  <dc:description>Vorlage erstellt am: 09.12.2022 15:57:46, Version</dc:description>
  <cp:lastModifiedBy>Kissling, Isabel FKD</cp:lastModifiedBy>
  <cp:revision>17</cp:revision>
  <cp:lastPrinted>2023-06-22T13:19:00Z</cp:lastPrinted>
  <dcterms:created xsi:type="dcterms:W3CDTF">2023-06-21T18:54:00Z</dcterms:created>
  <dcterms:modified xsi:type="dcterms:W3CDTF">2023-06-26T12:13:00Z</dcterms:modified>
</cp:coreProperties>
</file>